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Brand"/>
      </w:pPr>
      <w:r>
        <w:t>RESOURCE REALTY</w:t>
      </w:r>
    </w:p>
    <w:p>
      <w:pPr>
        <w:pStyle w:val="CoverNote"/>
      </w:pPr>
      <w:r>
        <w:t>Tenant Representation  ·  Commercial Real Estate Advisory</w:t>
      </w:r>
    </w:p>
    <w:p>
      <w:r/>
    </w:p>
    <w:p>
      <w:r/>
    </w:p>
    <w:p>
      <w:pPr>
        <w:pStyle w:val="CoverTitle"/>
      </w:pPr>
      <w:r>
        <w:t>Comparative Market Analysis</w:t>
      </w:r>
    </w:p>
    <w:p>
      <w:pPr>
        <w:pStyle w:val="CoverTitle2"/>
      </w:pPr>
      <w:r>
        <w:t>Industrial/Laboratory Lease Search</w:t>
      </w:r>
    </w:p>
    <w:p>
      <w:r/>
    </w:p>
    <w:p>
      <w:pPr>
        <w:pStyle w:val="CoverSubtitle"/>
      </w:pPr>
      <w:r>
        <w:t>Houston Energy Corridor &amp; West Houston Submarket</w:t>
      </w:r>
    </w:p>
    <w:p>
      <w:r/>
    </w:p>
    <w:p>
      <w:r/>
    </w:p>
    <w:tbl>
      <w:tblPr>
        <w:tblW w:type="auto" w:w="0"/>
        <w:tblLayout w:type="fixed"/>
        <w:tblLook w:firstColumn="1" w:firstRow="1" w:lastColumn="0" w:lastRow="0" w:noHBand="0" w:noVBand="1" w:val="04A0"/>
      </w:tblPr>
      <w:tblGrid>
        <w:gridCol w:w="4986"/>
        <w:gridCol w:w="4986"/>
      </w:tblGrid>
      <w:tr>
        <w:tc>
          <w:tcPr>
            <w:tcW w:type="dxa" w:w="2381"/>
          </w:tcPr>
          <w:p>
            <w:pPr>
              <w:spacing w:after="40" w:before="40"/>
            </w:pPr>
            <w:r>
              <w:rPr>
                <w:b/>
                <w:sz w:val="21"/>
              </w:rPr>
            </w:r>
          </w:p>
        </w:tc>
        <w:tc>
          <w:tcPr>
            <w:tcW w:type="dxa" w:w="7257"/>
          </w:tcPr>
          <w:p>
            <w:pPr>
              <w:spacing w:after="40" w:before="40"/>
            </w:pPr>
            <w:r>
              <w:rPr>
                <w:b/>
                <w:sz w:val="21"/>
              </w:rPr>
            </w:r>
          </w:p>
        </w:tc>
      </w:tr>
      <w:tr>
        <w:tc>
          <w:tcPr>
            <w:tcW w:type="dxa" w:w="2381"/>
          </w:tcPr>
          <w:p>
            <w:pPr>
              <w:spacing w:after="40" w:before="40"/>
            </w:pPr>
            <w:r>
              <w:rPr>
                <w:sz w:val="21"/>
              </w:rPr>
              <w:t>Prepared for</w:t>
            </w:r>
          </w:p>
        </w:tc>
        <w:tc>
          <w:tcPr>
            <w:tcW w:type="dxa" w:w="7257"/>
          </w:tcPr>
          <w:p>
            <w:pPr>
              <w:spacing w:after="40" w:before="40"/>
            </w:pPr>
            <w:r>
              <w:rPr>
                <w:sz w:val="21"/>
              </w:rPr>
              <w:t>Oil &amp; Gas Laboratory Tenant (confidential)</w:t>
            </w:r>
          </w:p>
        </w:tc>
      </w:tr>
      <w:tr>
        <w:tc>
          <w:tcPr>
            <w:tcW w:type="dxa" w:w="2381"/>
          </w:tcPr>
          <w:p>
            <w:pPr>
              <w:spacing w:after="40" w:before="40"/>
            </w:pPr>
            <w:r>
              <w:rPr>
                <w:sz w:val="21"/>
              </w:rPr>
              <w:t>Prepared by</w:t>
            </w:r>
          </w:p>
        </w:tc>
        <w:tc>
          <w:tcPr>
            <w:tcW w:type="dxa" w:w="7257"/>
          </w:tcPr>
          <w:p>
            <w:pPr>
              <w:spacing w:after="40" w:before="40"/>
            </w:pPr>
            <w:r>
              <w:rPr>
                <w:sz w:val="21"/>
              </w:rPr>
              <w:t>Justin Dees, Resource Realty — Tenant Representation</w:t>
            </w:r>
          </w:p>
        </w:tc>
      </w:tr>
      <w:tr>
        <w:tc>
          <w:tcPr>
            <w:tcW w:type="dxa" w:w="2381"/>
          </w:tcPr>
          <w:p>
            <w:pPr>
              <w:spacing w:after="40" w:before="40"/>
            </w:pPr>
            <w:r>
              <w:rPr>
                <w:sz w:val="21"/>
              </w:rPr>
              <w:t>Date</w:t>
            </w:r>
          </w:p>
        </w:tc>
        <w:tc>
          <w:tcPr>
            <w:tcW w:type="dxa" w:w="7257"/>
          </w:tcPr>
          <w:p>
            <w:pPr>
              <w:spacing w:after="40" w:before="40"/>
            </w:pPr>
            <w:r>
              <w:rPr>
                <w:sz w:val="21"/>
              </w:rPr>
              <w:t>October 2026</w:t>
            </w:r>
          </w:p>
        </w:tc>
      </w:tr>
      <w:tr>
        <w:tc>
          <w:tcPr>
            <w:tcW w:type="dxa" w:w="2381"/>
          </w:tcPr>
          <w:p>
            <w:pPr>
              <w:spacing w:after="40" w:before="40"/>
            </w:pPr>
            <w:r>
              <w:rPr>
                <w:sz w:val="21"/>
              </w:rPr>
              <w:t>Search area</w:t>
            </w:r>
          </w:p>
        </w:tc>
        <w:tc>
          <w:tcPr>
            <w:tcW w:type="dxa" w:w="7257"/>
          </w:tcPr>
          <w:p>
            <w:pPr>
              <w:spacing w:after="40" w:before="40"/>
            </w:pPr>
            <w:r>
              <w:rPr>
                <w:sz w:val="21"/>
              </w:rPr>
              <w:t>Houston Energy Corridor &amp; West Houston, within 20 driving miles</w:t>
            </w:r>
          </w:p>
        </w:tc>
      </w:tr>
      <w:tr>
        <w:tc>
          <w:tcPr>
            <w:tcW w:type="dxa" w:w="2381"/>
          </w:tcPr>
          <w:p>
            <w:pPr>
              <w:spacing w:after="40" w:before="40"/>
            </w:pPr>
            <w:r>
              <w:rPr>
                <w:sz w:val="21"/>
              </w:rPr>
              <w:t>Candidates reviewed</w:t>
            </w:r>
          </w:p>
        </w:tc>
        <w:tc>
          <w:tcPr>
            <w:tcW w:type="dxa" w:w="7257"/>
          </w:tcPr>
          <w:p>
            <w:pPr>
              <w:spacing w:after="40" w:before="40"/>
            </w:pPr>
            <w:r>
              <w:rPr>
                <w:sz w:val="21"/>
              </w:rPr>
              <w:t>12 active industrial/flex/lab listings (Park Row, Park 10, Energy Corridor, Katy Fwy)</w:t>
            </w:r>
          </w:p>
        </w:tc>
      </w:tr>
    </w:tbl>
    <w:p>
      <w:r/>
    </w:p>
    <w:p>
      <w:pPr>
        <w:pStyle w:val="CoverNote"/>
      </w:pPr>
      <w:r>
        <w:t>This document is confidential and prepared for the exclusive use of the client named above. All listing facts trace to cited public sources captured October 2026; specifications marked unknown or to-be-confirmed are not published by the listing sources and require direct broker inquiry.</w:t>
      </w:r>
    </w:p>
    <w:p>
      <w:r>
        <w:br w:type="page"/>
      </w:r>
    </w:p>
    <w:p>
      <w:pPr>
        <w:pStyle w:val="Heading1"/>
      </w:pPr>
      <w:r>
        <w:t>Contents</w:t>
      </w:r>
    </w:p>
    <w:tbl>
      <w:tblPr>
        <w:tblStyle w:val="MediumShading1-Accent1"/>
        <w:tblW w:type="auto" w:w="0"/>
        <w:tblLayout w:type="fixed"/>
        <w:tblLook w:firstColumn="1" w:firstRow="1" w:lastColumn="0" w:lastRow="0" w:noHBand="0" w:noVBand="1" w:val="04A0"/>
      </w:tblPr>
      <w:tblGrid>
        <w:gridCol w:w="4986"/>
        <w:gridCol w:w="4986"/>
      </w:tblGrid>
      <w:tr>
        <w:trPr>
          <w:tblHeader w:val="true"/>
        </w:trPr>
        <w:tc>
          <w:tcPr>
            <w:tcW w:type="dxa" w:w="1247"/>
          </w:tcPr>
          <w:p>
            <w:pPr>
              <w:spacing w:after="40" w:before="40"/>
            </w:pPr>
            <w:r>
              <w:rPr>
                <w:b/>
                <w:sz w:val="21"/>
              </w:rPr>
              <w:t>Section</w:t>
            </w:r>
          </w:p>
        </w:tc>
        <w:tc>
          <w:tcPr>
            <w:tcW w:type="dxa" w:w="8391"/>
          </w:tcPr>
          <w:p>
            <w:pPr>
              <w:spacing w:after="40" w:before="40"/>
            </w:pPr>
            <w:r>
              <w:rPr>
                <w:b/>
                <w:sz w:val="21"/>
              </w:rPr>
              <w:t>Document section</w:t>
            </w:r>
          </w:p>
        </w:tc>
      </w:tr>
      <w:tr>
        <w:tc>
          <w:tcPr>
            <w:tcW w:type="dxa" w:w="1247"/>
          </w:tcPr>
          <w:p>
            <w:pPr>
              <w:spacing w:after="40" w:before="40"/>
            </w:pPr>
            <w:r>
              <w:rPr>
                <w:sz w:val="21"/>
              </w:rPr>
              <w:t>1</w:t>
            </w:r>
          </w:p>
        </w:tc>
        <w:tc>
          <w:tcPr>
            <w:tcW w:type="dxa" w:w="8391"/>
          </w:tcPr>
          <w:p>
            <w:pPr>
              <w:spacing w:after="40" w:before="40"/>
            </w:pPr>
            <w:r>
              <w:rPr>
                <w:sz w:val="21"/>
              </w:rPr>
              <w:t>Executive Summary — requirement at a glance, market reality, top targets</w:t>
            </w:r>
          </w:p>
        </w:tc>
      </w:tr>
      <w:tr>
        <w:tc>
          <w:tcPr>
            <w:tcW w:type="dxa" w:w="1247"/>
          </w:tcPr>
          <w:p>
            <w:pPr>
              <w:spacing w:after="40" w:before="40"/>
            </w:pPr>
            <w:r>
              <w:rPr>
                <w:sz w:val="21"/>
              </w:rPr>
              <w:t>2</w:t>
            </w:r>
          </w:p>
        </w:tc>
        <w:tc>
          <w:tcPr>
            <w:tcW w:type="dxa" w:w="8391"/>
          </w:tcPr>
          <w:p>
            <w:pPr>
              <w:spacing w:after="40" w:before="40"/>
            </w:pPr>
            <w:r>
              <w:rPr>
                <w:sz w:val="21"/>
              </w:rPr>
              <w:t>Client Requirements Matrix</w:t>
            </w:r>
          </w:p>
        </w:tc>
      </w:tr>
      <w:tr>
        <w:tc>
          <w:tcPr>
            <w:tcW w:type="dxa" w:w="1247"/>
          </w:tcPr>
          <w:p>
            <w:pPr>
              <w:spacing w:after="40" w:before="40"/>
            </w:pPr>
            <w:r>
              <w:rPr>
                <w:sz w:val="21"/>
              </w:rPr>
              <w:t>3</w:t>
            </w:r>
          </w:p>
        </w:tc>
        <w:tc>
          <w:tcPr>
            <w:tcW w:type="dxa" w:w="8391"/>
          </w:tcPr>
          <w:p>
            <w:pPr>
              <w:spacing w:after="40" w:before="40"/>
            </w:pPr>
            <w:r>
              <w:rPr>
                <w:sz w:val="21"/>
              </w:rPr>
              <w:t>Market Overview — vacancy, asking rents, concessions</w:t>
            </w:r>
          </w:p>
        </w:tc>
      </w:tr>
      <w:tr>
        <w:tc>
          <w:tcPr>
            <w:tcW w:type="dxa" w:w="1247"/>
          </w:tcPr>
          <w:p>
            <w:pPr>
              <w:spacing w:after="40" w:before="40"/>
            </w:pPr>
            <w:r>
              <w:rPr>
                <w:sz w:val="21"/>
              </w:rPr>
              <w:t>4</w:t>
            </w:r>
          </w:p>
        </w:tc>
        <w:tc>
          <w:tcPr>
            <w:tcW w:type="dxa" w:w="8391"/>
          </w:tcPr>
          <w:p>
            <w:pPr>
              <w:spacing w:after="40" w:before="40"/>
            </w:pPr>
            <w:r>
              <w:rPr>
                <w:sz w:val="21"/>
              </w:rPr>
              <w:t>Candidate Properties — twelve active listings, fit-score order</w:t>
            </w:r>
          </w:p>
        </w:tc>
      </w:tr>
      <w:tr>
        <w:tc>
          <w:tcPr>
            <w:tcW w:type="dxa" w:w="1247"/>
          </w:tcPr>
          <w:p>
            <w:pPr>
              <w:spacing w:after="40" w:before="40"/>
            </w:pPr>
            <w:r>
              <w:rPr>
                <w:sz w:val="21"/>
              </w:rPr>
              <w:t>5</w:t>
            </w:r>
          </w:p>
        </w:tc>
        <w:tc>
          <w:tcPr>
            <w:tcW w:type="dxa" w:w="8391"/>
          </w:tcPr>
          <w:p>
            <w:pPr>
              <w:spacing w:after="40" w:before="40"/>
            </w:pPr>
            <w:r>
              <w:rPr>
                <w:sz w:val="21"/>
              </w:rPr>
              <w:t>Comparison Table — all candidates vs. requirement checklist</w:t>
            </w:r>
          </w:p>
        </w:tc>
      </w:tr>
      <w:tr>
        <w:tc>
          <w:tcPr>
            <w:tcW w:type="dxa" w:w="1247"/>
          </w:tcPr>
          <w:p>
            <w:pPr>
              <w:spacing w:after="40" w:before="40"/>
            </w:pPr>
            <w:r>
              <w:rPr>
                <w:sz w:val="21"/>
              </w:rPr>
              <w:t>6</w:t>
            </w:r>
          </w:p>
        </w:tc>
        <w:tc>
          <w:tcPr>
            <w:tcW w:type="dxa" w:w="8391"/>
          </w:tcPr>
          <w:p>
            <w:pPr>
              <w:spacing w:after="40" w:before="40"/>
            </w:pPr>
            <w:r>
              <w:rPr>
                <w:sz w:val="21"/>
              </w:rPr>
              <w:t>Recommendations &amp; Strategy — ranked picks, broker call sequence, timing plan</w:t>
            </w:r>
          </w:p>
        </w:tc>
      </w:tr>
      <w:tr>
        <w:tc>
          <w:tcPr>
            <w:tcW w:type="dxa" w:w="1247"/>
          </w:tcPr>
          <w:p>
            <w:pPr>
              <w:spacing w:after="40" w:before="40"/>
            </w:pPr>
            <w:r>
              <w:rPr>
                <w:sz w:val="21"/>
              </w:rPr>
              <w:t>7</w:t>
            </w:r>
          </w:p>
        </w:tc>
        <w:tc>
          <w:tcPr>
            <w:tcW w:type="dxa" w:w="8391"/>
          </w:tcPr>
          <w:p>
            <w:pPr>
              <w:spacing w:after="40" w:before="40"/>
            </w:pPr>
            <w:r>
              <w:rPr>
                <w:sz w:val="21"/>
              </w:rPr>
              <w:t>Assumptions &amp; Sources</w:t>
            </w:r>
          </w:p>
        </w:tc>
      </w:tr>
    </w:tbl>
    <w:p>
      <w:r>
        <w:br w:type="page"/>
      </w:r>
    </w:p>
    <w:p>
      <w:pPr>
        <w:pStyle w:val="Heading1"/>
      </w:pPr>
      <w:r>
        <w:t>1. Executive Summary</w:t>
      </w:r>
    </w:p>
    <w:p>
      <w:r>
        <w:t>This Comparative Market Analysis supports a tenant-representative search for a dedicated approximately 2,000 SF industrial/laboratory facility within 20 driving miles of the Houston Energy Corridor. The requirement is an oil &amp; gas laboratory user seeking immediate occupancy on a 3–5 year term (open to 7–10), with heavy power, lab-capable HVAC, loading, 24/7 access, high parking, and an expansion path. Twelve active listings in the Energy Corridor / West Houston submarket were researched and are profiled in Section 4.</w:t>
      </w:r>
    </w:p>
    <w:p>
      <w:pPr>
        <w:pStyle w:val="Heading2"/>
      </w:pPr>
      <w:r>
        <w:t>The requirement at a glance</w:t>
      </w:r>
    </w:p>
    <w:p>
      <w:pPr>
        <w:pStyle w:val="ListBullet"/>
      </w:pPr>
      <w:r>
        <w:t>Space: ~2,000 SF dedicated industrial/laboratory</w:t>
      </w:r>
    </w:p>
    <w:p>
      <w:pPr>
        <w:pStyle w:val="ListBullet"/>
      </w:pPr>
      <w:r>
        <w:t>Location: within 20 driving miles of the Houston Energy Corridor</w:t>
      </w:r>
    </w:p>
    <w:p>
      <w:pPr>
        <w:pStyle w:val="ListBullet"/>
      </w:pPr>
      <w:r>
        <w:t>Budget: $10,000–$15,000 gross per month ($60–90/SF/yr on 2,000 SF)</w:t>
      </w:r>
    </w:p>
    <w:p>
      <w:pPr>
        <w:pStyle w:val="ListBullet"/>
      </w:pPr>
      <w:r>
        <w:t>Timing: move-in ready / immediate occupancy</w:t>
      </w:r>
    </w:p>
    <w:p>
      <w:pPr>
        <w:pStyle w:val="ListBullet"/>
      </w:pPr>
      <w:r>
        <w:t>Term: 3–5 years (open to 7–10 years)</w:t>
      </w:r>
    </w:p>
    <w:p>
      <w:pPr>
        <w:pStyle w:val="ListBullet"/>
      </w:pPr>
      <w:r>
        <w:t>Expansion: expansion option or ROFR on adjacent suites</w:t>
      </w:r>
    </w:p>
    <w:p>
      <w:pPr>
        <w:pStyle w:val="ListBullet"/>
      </w:pPr>
      <w:r>
        <w:t>Power: 120V/240V heavy power plus on-site generator</w:t>
      </w:r>
    </w:p>
    <w:p>
      <w:pPr>
        <w:pStyle w:val="ListBullet"/>
      </w:pPr>
      <w:r>
        <w:t>HVAC: dedicated lab-capable HVAC; exhaust / make-up air modifiable</w:t>
      </w:r>
    </w:p>
    <w:p>
      <w:pPr>
        <w:pStyle w:val="ListBullet"/>
      </w:pPr>
      <w:r>
        <w:t>Loading: loading dock or grade-level freight; 24/7 access; high parking ratio</w:t>
      </w:r>
    </w:p>
    <w:p>
      <w:pPr>
        <w:pStyle w:val="Heading2"/>
      </w:pPr>
      <w:r>
        <w:t>Market reality — the budget is not the constraint</w:t>
      </w:r>
    </w:p>
    <w:p>
      <w:r>
        <w:t>At $10,000–$15,000/month on 2,000 SF, the client's budget equals $60–$90/SF/yr gross. That is roughly four-to-seven times the $9–$15/SF/yr asking range observed for Energy Corridor small-bay industrial and flex space, and about six-to-nine times Houston metro industrial NNN asking rents ($9.73–$10.57/SF/yr, Q2 2026). Budget is therefore not the binding constraint in this submarket. The real constraints are (1) lab-ready infrastructure — heavy power and exhaust-capable HVAC — and (2) immediate availability.</w:t>
      </w:r>
    </w:p>
    <w:p>
      <w:r>
        <w:t>Only 2 of the 12 candidates publish confirmed heavy power (L01 at 1,800 amps; L04 at 480V three-phase). Confirmed lab components appear at only two listings (L02 dry-lab/wet-lab/chemical storage/negative-pressure test room; L03 a 3,100 SF lab suite at 100% AC, available now). Eight of twelve candidates publish rates only upon request, and no listing publishes a generator, an ROFR, or suite-level lab-exhaust specs. Houston has no purpose-built lab inventory inside the Energy Corridor / West Houston band — metro life-science product ($47.53/SF/yr NNN, ~19% vacancy) is TMC-anchored, roughly 15 miles east — so this requirement is realistically served by flex/industrial space with tenant lab fit-out. The practical implication: the client's budget headroom can fund lab build-out (exhaust, make-up air, power upgrade, zoning) on cheaper shell space, and speed of broker qualification — not price — will determine the outcome.</w:t>
      </w:r>
    </w:p>
    <w:p>
      <w:pPr>
        <w:pStyle w:val="Heading2"/>
      </w:pPr>
      <w:r>
        <w:t>Top recommended targets</w:t>
      </w:r>
    </w:p>
    <w:p>
      <w:r>
        <w:rPr>
          <w:b/>
        </w:rPr>
        <w:t xml:space="preserve">L02 · Technipark Ten — 16115 Park Row (fit score 5/5). </w:t>
      </w:r>
      <w:r>
        <w:t>The only listing in the search with confirmed lab rooms: office-warehouse, dry-lab, wet-lab, a chemical storage H-2 room, and a negative-pressure test room with evacuation fume capability, per the LoopNet listing text. Divisible blocks of ~2,665–5,200 SF can be negotiated toward the 2,000 SF target, in Energy Corridor, with a same-campus heavy-power option (L01). Rate is unpublished — call Doug Pack (Colliers, 713-818-5782).</w:t>
      </w:r>
    </w:p>
    <w:p>
      <w:r>
        <w:rPr>
          <w:b/>
        </w:rPr>
        <w:t xml:space="preserve">L01 · Technipark Ten — 16155 Park Row, Suite 190 (fit score 5/5). </w:t>
      </w:r>
      <w:r>
        <w:t>The only confirmed heavy-power suite in the Energy Corridor flex cluster — two 800-amp service disconnects plus the original 200-amp disconnect, effectively 1,800 amps — with ~30-day availability and an adjacent-suite expansion path (Ste 150, 2,665 SF, available now). Size is 5,348 SF (2.5x target) and the rate is unpublished; at corridor industrial averages (~$11/SF/yr NNN) that size would base-rent near $4,900/month — illustrative only — suggesting the budget can absorb it.</w:t>
      </w:r>
    </w:p>
    <w:p>
      <w:r>
        <w:rPr>
          <w:b/>
        </w:rPr>
        <w:t xml:space="preserve">L03 · Techniplex Business Center — 16203 Park Row, Suite 100 (fit score 4/5). </w:t>
      </w:r>
      <w:r>
        <w:t>The only candidate with lab space explicitly marked available now — 3,100 SF of lab within the 6,378 SF suite, air-conditioned per CityFeet — plus a right-size sibling (Ste 175, 1,948 SF, available now) and 141 parking spaces included in rent. Rate, suite power, and exhaust specs are unpublished — call Meg Zschappel (Stream Realty Partners, 888-589-8706).</w:t>
      </w:r>
    </w:p>
    <w:p>
      <w:pPr>
        <w:pStyle w:val="SourceNote"/>
      </w:pPr>
      <w:r>
        <w:t>Alternates worth qualifying in parallel: L04 Park Ten Ste 200 (confirmed 480V three-phase plus dock/drive-in loading — the strongest lab-retrofit shell); L05 Goar Rd Ste 12664 ($11/SF NNN, 2,257 SF, available now — the only on-target size with published pricing); L08 Westgate 19407 Park Row (16 confirmed dock doors, $12/SF NNN published).</w:t>
      </w:r>
    </w:p>
    <w:p>
      <w:r>
        <w:br w:type="page"/>
      </w:r>
    </w:p>
    <w:p>
      <w:pPr>
        <w:pStyle w:val="Heading1"/>
      </w:pPr>
      <w:r>
        <w:t>2. Client Requirements Matrix</w:t>
      </w:r>
    </w:p>
    <w:p>
      <w:r>
        <w:t>Every baseline requirement from the client's requirement email is listed below. Each of the twelve candidates in Section 4 is scored against these criteria; Section 5 shows the confirmed / partial / unknown status at a glance.</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381"/>
          </w:tcPr>
          <w:p>
            <w:pPr>
              <w:spacing w:after="40" w:before="40"/>
            </w:pPr>
            <w:r>
              <w:rPr>
                <w:b/>
                <w:sz w:val="21"/>
              </w:rPr>
              <w:t>Requirement</w:t>
            </w:r>
          </w:p>
        </w:tc>
        <w:tc>
          <w:tcPr>
            <w:tcW w:type="dxa" w:w="7257"/>
          </w:tcPr>
          <w:p>
            <w:pPr>
              <w:spacing w:after="40" w:before="40"/>
            </w:pPr>
            <w:r>
              <w:rPr>
                <w:b/>
                <w:sz w:val="21"/>
              </w:rPr>
              <w:t>Client specification</w:t>
            </w:r>
          </w:p>
        </w:tc>
      </w:tr>
      <w:tr>
        <w:tc>
          <w:tcPr>
            <w:tcW w:type="dxa" w:w="2381"/>
          </w:tcPr>
          <w:p>
            <w:pPr>
              <w:spacing w:after="40" w:before="40"/>
            </w:pPr>
            <w:r>
              <w:rPr>
                <w:sz w:val="21"/>
              </w:rPr>
              <w:t>Space</w:t>
            </w:r>
          </w:p>
        </w:tc>
        <w:tc>
          <w:tcPr>
            <w:tcW w:type="dxa" w:w="7257"/>
          </w:tcPr>
          <w:p>
            <w:pPr>
              <w:spacing w:after="40" w:before="40"/>
            </w:pPr>
            <w:r>
              <w:rPr>
                <w:sz w:val="21"/>
              </w:rPr>
              <w:t>~2,000 SF dedicated industrial/laboratory</w:t>
            </w:r>
          </w:p>
        </w:tc>
      </w:tr>
      <w:tr>
        <w:tc>
          <w:tcPr>
            <w:tcW w:type="dxa" w:w="2381"/>
          </w:tcPr>
          <w:p>
            <w:pPr>
              <w:spacing w:after="40" w:before="40"/>
            </w:pPr>
            <w:r>
              <w:rPr>
                <w:sz w:val="21"/>
              </w:rPr>
              <w:t>Location</w:t>
            </w:r>
          </w:p>
        </w:tc>
        <w:tc>
          <w:tcPr>
            <w:tcW w:type="dxa" w:w="7257"/>
          </w:tcPr>
          <w:p>
            <w:pPr>
              <w:spacing w:after="40" w:before="40"/>
            </w:pPr>
            <w:r>
              <w:rPr>
                <w:sz w:val="21"/>
              </w:rPr>
              <w:t>Within 20 driving miles of the Houston Energy Corridor</w:t>
            </w:r>
          </w:p>
        </w:tc>
      </w:tr>
      <w:tr>
        <w:tc>
          <w:tcPr>
            <w:tcW w:type="dxa" w:w="2381"/>
          </w:tcPr>
          <w:p>
            <w:pPr>
              <w:spacing w:after="40" w:before="40"/>
            </w:pPr>
            <w:r>
              <w:rPr>
                <w:sz w:val="21"/>
              </w:rPr>
              <w:t>Budget</w:t>
            </w:r>
          </w:p>
        </w:tc>
        <w:tc>
          <w:tcPr>
            <w:tcW w:type="dxa" w:w="7257"/>
          </w:tcPr>
          <w:p>
            <w:pPr>
              <w:spacing w:after="40" w:before="40"/>
            </w:pPr>
            <w:r>
              <w:rPr>
                <w:sz w:val="21"/>
              </w:rPr>
              <w:t>$10,000–$15,000 gross monthly rent (≈ $60–90/SF/yr on 2,000 SF)</w:t>
            </w:r>
          </w:p>
        </w:tc>
      </w:tr>
      <w:tr>
        <w:tc>
          <w:tcPr>
            <w:tcW w:type="dxa" w:w="2381"/>
          </w:tcPr>
          <w:p>
            <w:pPr>
              <w:spacing w:after="40" w:before="40"/>
            </w:pPr>
            <w:r>
              <w:rPr>
                <w:sz w:val="21"/>
              </w:rPr>
              <w:t>Timing</w:t>
            </w:r>
          </w:p>
        </w:tc>
        <w:tc>
          <w:tcPr>
            <w:tcW w:type="dxa" w:w="7257"/>
          </w:tcPr>
          <w:p>
            <w:pPr>
              <w:spacing w:after="40" w:before="40"/>
            </w:pPr>
            <w:r>
              <w:rPr>
                <w:sz w:val="21"/>
              </w:rPr>
              <w:t>Move-in ready / immediate occupancy</w:t>
            </w:r>
          </w:p>
        </w:tc>
      </w:tr>
      <w:tr>
        <w:tc>
          <w:tcPr>
            <w:tcW w:type="dxa" w:w="2381"/>
          </w:tcPr>
          <w:p>
            <w:pPr>
              <w:spacing w:after="40" w:before="40"/>
            </w:pPr>
            <w:r>
              <w:rPr>
                <w:sz w:val="21"/>
              </w:rPr>
              <w:t>Lease term</w:t>
            </w:r>
          </w:p>
        </w:tc>
        <w:tc>
          <w:tcPr>
            <w:tcW w:type="dxa" w:w="7257"/>
          </w:tcPr>
          <w:p>
            <w:pPr>
              <w:spacing w:after="40" w:before="40"/>
            </w:pPr>
            <w:r>
              <w:rPr>
                <w:sz w:val="21"/>
              </w:rPr>
              <w:t>3–5 years (open to 7–10 years)</w:t>
            </w:r>
          </w:p>
        </w:tc>
      </w:tr>
      <w:tr>
        <w:tc>
          <w:tcPr>
            <w:tcW w:type="dxa" w:w="2381"/>
          </w:tcPr>
          <w:p>
            <w:pPr>
              <w:spacing w:after="40" w:before="40"/>
            </w:pPr>
            <w:r>
              <w:rPr>
                <w:sz w:val="21"/>
              </w:rPr>
              <w:t>Expansion</w:t>
            </w:r>
          </w:p>
        </w:tc>
        <w:tc>
          <w:tcPr>
            <w:tcW w:type="dxa" w:w="7257"/>
          </w:tcPr>
          <w:p>
            <w:pPr>
              <w:spacing w:after="40" w:before="40"/>
            </w:pPr>
            <w:r>
              <w:rPr>
                <w:sz w:val="21"/>
              </w:rPr>
              <w:t>Expansion option or ROFR on adjacent suites</w:t>
            </w:r>
          </w:p>
        </w:tc>
      </w:tr>
      <w:tr>
        <w:tc>
          <w:tcPr>
            <w:tcW w:type="dxa" w:w="2381"/>
          </w:tcPr>
          <w:p>
            <w:pPr>
              <w:spacing w:after="40" w:before="40"/>
            </w:pPr>
            <w:r>
              <w:rPr>
                <w:sz w:val="21"/>
              </w:rPr>
              <w:t>Power</w:t>
            </w:r>
          </w:p>
        </w:tc>
        <w:tc>
          <w:tcPr>
            <w:tcW w:type="dxa" w:w="7257"/>
          </w:tcPr>
          <w:p>
            <w:pPr>
              <w:spacing w:after="40" w:before="40"/>
            </w:pPr>
            <w:r>
              <w:rPr>
                <w:sz w:val="21"/>
              </w:rPr>
              <w:t>120V/240V heavy power plus on-site generator</w:t>
            </w:r>
          </w:p>
        </w:tc>
      </w:tr>
      <w:tr>
        <w:tc>
          <w:tcPr>
            <w:tcW w:type="dxa" w:w="2381"/>
          </w:tcPr>
          <w:p>
            <w:pPr>
              <w:spacing w:after="40" w:before="40"/>
            </w:pPr>
            <w:r>
              <w:rPr>
                <w:sz w:val="21"/>
              </w:rPr>
              <w:t>HVAC</w:t>
            </w:r>
          </w:p>
        </w:tc>
        <w:tc>
          <w:tcPr>
            <w:tcW w:type="dxa" w:w="7257"/>
          </w:tcPr>
          <w:p>
            <w:pPr>
              <w:spacing w:after="40" w:before="40"/>
            </w:pPr>
            <w:r>
              <w:rPr>
                <w:sz w:val="21"/>
              </w:rPr>
              <w:t>Dedicated lab-capable HVAC; exhaust / make-up air modifiable</w:t>
            </w:r>
          </w:p>
        </w:tc>
      </w:tr>
      <w:tr>
        <w:tc>
          <w:tcPr>
            <w:tcW w:type="dxa" w:w="2381"/>
          </w:tcPr>
          <w:p>
            <w:pPr>
              <w:spacing w:after="40" w:before="40"/>
            </w:pPr>
            <w:r>
              <w:rPr>
                <w:sz w:val="21"/>
              </w:rPr>
              <w:t>Loading</w:t>
            </w:r>
          </w:p>
        </w:tc>
        <w:tc>
          <w:tcPr>
            <w:tcW w:type="dxa" w:w="7257"/>
          </w:tcPr>
          <w:p>
            <w:pPr>
              <w:spacing w:after="40" w:before="40"/>
            </w:pPr>
            <w:r>
              <w:rPr>
                <w:sz w:val="21"/>
              </w:rPr>
              <w:t>Loading dock or grade-level freight access</w:t>
            </w:r>
          </w:p>
        </w:tc>
      </w:tr>
      <w:tr>
        <w:tc>
          <w:tcPr>
            <w:tcW w:type="dxa" w:w="2381"/>
          </w:tcPr>
          <w:p>
            <w:pPr>
              <w:spacing w:after="40" w:before="40"/>
            </w:pPr>
            <w:r>
              <w:rPr>
                <w:sz w:val="21"/>
              </w:rPr>
              <w:t>Access</w:t>
            </w:r>
          </w:p>
        </w:tc>
        <w:tc>
          <w:tcPr>
            <w:tcW w:type="dxa" w:w="7257"/>
          </w:tcPr>
          <w:p>
            <w:pPr>
              <w:spacing w:after="40" w:before="40"/>
            </w:pPr>
            <w:r>
              <w:rPr>
                <w:sz w:val="21"/>
              </w:rPr>
              <w:t>24/7 building access</w:t>
            </w:r>
          </w:p>
        </w:tc>
      </w:tr>
      <w:tr>
        <w:tc>
          <w:tcPr>
            <w:tcW w:type="dxa" w:w="2381"/>
          </w:tcPr>
          <w:p>
            <w:pPr>
              <w:spacing w:after="40" w:before="40"/>
            </w:pPr>
            <w:r>
              <w:rPr>
                <w:sz w:val="21"/>
              </w:rPr>
              <w:t>Parking</w:t>
            </w:r>
          </w:p>
        </w:tc>
        <w:tc>
          <w:tcPr>
            <w:tcW w:type="dxa" w:w="7257"/>
          </w:tcPr>
          <w:p>
            <w:pPr>
              <w:spacing w:after="40" w:before="40"/>
            </w:pPr>
            <w:r>
              <w:rPr>
                <w:sz w:val="21"/>
              </w:rPr>
              <w:t>High parking ratio</w:t>
            </w:r>
          </w:p>
        </w:tc>
      </w:tr>
    </w:tbl>
    <w:p>
      <w:pPr>
        <w:pStyle w:val="SourceNote"/>
      </w:pPr>
      <w:r>
        <w:t>Note: on 2,000 SF the budget band implies $60–90/SF/yr gross — multiples of standard industrial asking rents (see Section 3). Every requirement above is treated as baseline; none was de-prioritized in the search.</w:t>
      </w:r>
    </w:p>
    <w:p>
      <w:r>
        <w:br w:type="page"/>
      </w:r>
    </w:p>
    <w:p>
      <w:pPr>
        <w:pStyle w:val="Heading1"/>
      </w:pPr>
      <w:r>
        <w:t>3. Market Overview</w:t>
      </w:r>
    </w:p>
    <w:p>
      <w:r>
        <w:t>Houston's industrial market is in a supply-driven soft patch: metro vacancy of ~7.3–7.5% (Q1–Q2 2026, first quarterly decline since Q4 2024) coexists with asking rents at or near record highs. Big-box space is seeing widening concessions while small-bay and flex product stays tight, because almost no new small-bay construction is being delivered. The Energy Corridor itself is thin on industrial inventory, and no purpose-built lab product exists inside the search area.</w:t>
      </w:r>
    </w:p>
    <w:p>
      <w:pPr>
        <w:pStyle w:val="Heading2"/>
      </w:pPr>
      <w:r>
        <w:t>Asking rents — Houston metro industrial</w:t>
      </w:r>
    </w:p>
    <w:tbl>
      <w:tblPr>
        <w:tblStyle w:val="MediumShading1-Accent1"/>
        <w:tblW w:type="auto" w:w="0"/>
        <w:tblLayout w:type="fixed"/>
        <w:tblLook w:firstColumn="1" w:firstRow="1" w:lastColumn="0" w:lastRow="0" w:noHBand="0" w:noVBand="1" w:val="04A0"/>
      </w:tblPr>
      <w:tblGrid>
        <w:gridCol w:w="2493"/>
        <w:gridCol w:w="2493"/>
        <w:gridCol w:w="2493"/>
        <w:gridCol w:w="2493"/>
      </w:tblGrid>
      <w:tr>
        <w:trPr>
          <w:tblHeader w:val="true"/>
        </w:trPr>
        <w:tc>
          <w:tcPr>
            <w:tcW w:type="dxa" w:w="2608"/>
          </w:tcPr>
          <w:p>
            <w:pPr>
              <w:spacing w:after="40" w:before="40"/>
            </w:pPr>
            <w:r>
              <w:rPr>
                <w:b/>
                <w:sz w:val="18"/>
              </w:rPr>
              <w:t>Metric</w:t>
            </w:r>
          </w:p>
        </w:tc>
        <w:tc>
          <w:tcPr>
            <w:tcW w:type="dxa" w:w="2721"/>
          </w:tcPr>
          <w:p>
            <w:pPr>
              <w:spacing w:after="40" w:before="40"/>
            </w:pPr>
            <w:r>
              <w:rPr>
                <w:b/>
                <w:sz w:val="18"/>
              </w:rPr>
              <w:t>Value</w:t>
            </w:r>
          </w:p>
        </w:tc>
        <w:tc>
          <w:tcPr>
            <w:tcW w:type="dxa" w:w="1247"/>
          </w:tcPr>
          <w:p>
            <w:pPr>
              <w:spacing w:after="40" w:before="40"/>
            </w:pPr>
            <w:r>
              <w:rPr>
                <w:b/>
                <w:sz w:val="18"/>
              </w:rPr>
              <w:t>Period</w:t>
            </w:r>
          </w:p>
        </w:tc>
        <w:tc>
          <w:tcPr>
            <w:tcW w:type="dxa" w:w="3061"/>
          </w:tcPr>
          <w:p>
            <w:pPr>
              <w:spacing w:after="40" w:before="40"/>
            </w:pPr>
            <w:r>
              <w:rPr>
                <w:b/>
                <w:sz w:val="18"/>
              </w:rPr>
              <w:t>Source</w:t>
            </w:r>
          </w:p>
        </w:tc>
      </w:tr>
      <w:tr>
        <w:tc>
          <w:tcPr>
            <w:tcW w:type="dxa" w:w="2608"/>
          </w:tcPr>
          <w:p>
            <w:pPr>
              <w:spacing w:after="40" w:before="40"/>
            </w:pPr>
            <w:r>
              <w:rPr>
                <w:sz w:val="18"/>
              </w:rPr>
              <w:t>Avg industrial asking rent, NNN</w:t>
            </w:r>
          </w:p>
        </w:tc>
        <w:tc>
          <w:tcPr>
            <w:tcW w:type="dxa" w:w="2721"/>
          </w:tcPr>
          <w:p>
            <w:pPr>
              <w:spacing w:after="40" w:before="40"/>
            </w:pPr>
            <w:r>
              <w:rPr>
                <w:sz w:val="18"/>
              </w:rPr>
              <w:t>$10.57/SF/yr</w:t>
            </w:r>
          </w:p>
        </w:tc>
        <w:tc>
          <w:tcPr>
            <w:tcW w:type="dxa" w:w="1247"/>
          </w:tcPr>
          <w:p>
            <w:pPr>
              <w:spacing w:after="40" w:before="40"/>
            </w:pPr>
            <w:r>
              <w:rPr>
                <w:sz w:val="18"/>
              </w:rPr>
              <w:t>Q2 2026</w:t>
            </w:r>
          </w:p>
        </w:tc>
        <w:tc>
          <w:tcPr>
            <w:tcW w:type="dxa" w:w="3061"/>
          </w:tcPr>
          <w:p>
            <w:pPr>
              <w:spacing w:after="40" w:before="40"/>
            </w:pPr>
            <w:r>
              <w:rPr>
                <w:sz w:val="18"/>
              </w:rPr>
              <w:t>Greater Houston Partnership — houston.org</w:t>
            </w:r>
          </w:p>
        </w:tc>
      </w:tr>
      <w:tr>
        <w:tc>
          <w:tcPr>
            <w:tcW w:type="dxa" w:w="2608"/>
          </w:tcPr>
          <w:p>
            <w:pPr>
              <w:spacing w:after="40" w:before="40"/>
            </w:pPr>
            <w:r>
              <w:rPr>
                <w:sz w:val="18"/>
              </w:rPr>
              <w:t>Avg asking rent, NNN</w:t>
            </w:r>
          </w:p>
        </w:tc>
        <w:tc>
          <w:tcPr>
            <w:tcW w:type="dxa" w:w="2721"/>
          </w:tcPr>
          <w:p>
            <w:pPr>
              <w:spacing w:after="40" w:before="40"/>
            </w:pPr>
            <w:r>
              <w:rPr>
                <w:sz w:val="18"/>
              </w:rPr>
              <w:t>$9.73/SF/yr (−2.8% QoQ)</w:t>
            </w:r>
          </w:p>
        </w:tc>
        <w:tc>
          <w:tcPr>
            <w:tcW w:type="dxa" w:w="1247"/>
          </w:tcPr>
          <w:p>
            <w:pPr>
              <w:spacing w:after="40" w:before="40"/>
            </w:pPr>
            <w:r>
              <w:rPr>
                <w:sz w:val="18"/>
              </w:rPr>
              <w:t>Q2 2026</w:t>
            </w:r>
          </w:p>
        </w:tc>
        <w:tc>
          <w:tcPr>
            <w:tcW w:type="dxa" w:w="3061"/>
          </w:tcPr>
          <w:p>
            <w:pPr>
              <w:spacing w:after="40" w:before="40"/>
            </w:pPr>
            <w:r>
              <w:rPr>
                <w:sz w:val="18"/>
              </w:rPr>
              <w:t>Partners Real Estate — partnersrealestate.com</w:t>
            </w:r>
          </w:p>
        </w:tc>
      </w:tr>
      <w:tr>
        <w:tc>
          <w:tcPr>
            <w:tcW w:type="dxa" w:w="2608"/>
          </w:tcPr>
          <w:p>
            <w:pPr>
              <w:spacing w:after="40" w:before="40"/>
            </w:pPr>
            <w:r>
              <w:rPr>
                <w:sz w:val="18"/>
              </w:rPr>
              <w:t>Avg asking rent</w:t>
            </w:r>
          </w:p>
        </w:tc>
        <w:tc>
          <w:tcPr>
            <w:tcW w:type="dxa" w:w="2721"/>
          </w:tcPr>
          <w:p>
            <w:pPr>
              <w:spacing w:after="40" w:before="40"/>
            </w:pPr>
            <w:r>
              <w:rPr>
                <w:sz w:val="18"/>
              </w:rPr>
              <w:t>$10.14/SF/yr (+1.0% QoQ, −1.6% YoY)</w:t>
            </w:r>
          </w:p>
        </w:tc>
        <w:tc>
          <w:tcPr>
            <w:tcW w:type="dxa" w:w="1247"/>
          </w:tcPr>
          <w:p>
            <w:pPr>
              <w:spacing w:after="40" w:before="40"/>
            </w:pPr>
            <w:r>
              <w:rPr>
                <w:sz w:val="18"/>
              </w:rPr>
              <w:t>Q2 2026</w:t>
            </w:r>
          </w:p>
        </w:tc>
        <w:tc>
          <w:tcPr>
            <w:tcW w:type="dxa" w:w="3061"/>
          </w:tcPr>
          <w:p>
            <w:pPr>
              <w:spacing w:after="40" w:before="40"/>
            </w:pPr>
            <w:r>
              <w:rPr>
                <w:sz w:val="18"/>
              </w:rPr>
              <w:t>Colliers Houston Industrial Q2 2026</w:t>
            </w:r>
          </w:p>
        </w:tc>
      </w:tr>
      <w:tr>
        <w:tc>
          <w:tcPr>
            <w:tcW w:type="dxa" w:w="2608"/>
          </w:tcPr>
          <w:p>
            <w:pPr>
              <w:spacing w:after="40" w:before="40"/>
            </w:pPr>
            <w:r>
              <w:rPr>
                <w:sz w:val="18"/>
              </w:rPr>
              <w:t>Avg asking rent, NNN</w:t>
            </w:r>
          </w:p>
        </w:tc>
        <w:tc>
          <w:tcPr>
            <w:tcW w:type="dxa" w:w="2721"/>
          </w:tcPr>
          <w:p>
            <w:pPr>
              <w:spacing w:after="40" w:before="40"/>
            </w:pPr>
            <w:r>
              <w:rPr>
                <w:sz w:val="18"/>
              </w:rPr>
              <w:t>≈ $10.44/SF/yr (~$0.87/SF/mo)</w:t>
            </w:r>
          </w:p>
        </w:tc>
        <w:tc>
          <w:tcPr>
            <w:tcW w:type="dxa" w:w="1247"/>
          </w:tcPr>
          <w:p>
            <w:pPr>
              <w:spacing w:after="40" w:before="40"/>
            </w:pPr>
            <w:r>
              <w:rPr>
                <w:sz w:val="18"/>
              </w:rPr>
              <w:t>Q1 2026</w:t>
            </w:r>
          </w:p>
        </w:tc>
        <w:tc>
          <w:tcPr>
            <w:tcW w:type="dxa" w:w="3061"/>
          </w:tcPr>
          <w:p>
            <w:pPr>
              <w:spacing w:after="40" w:before="40"/>
            </w:pPr>
            <w:r>
              <w:rPr>
                <w:sz w:val="18"/>
              </w:rPr>
              <w:t>WareCRE Houston warehouse market report</w:t>
            </w:r>
          </w:p>
        </w:tc>
      </w:tr>
      <w:tr>
        <w:tc>
          <w:tcPr>
            <w:tcW w:type="dxa" w:w="2608"/>
          </w:tcPr>
          <w:p>
            <w:pPr>
              <w:spacing w:after="40" w:before="40"/>
            </w:pPr>
            <w:r>
              <w:rPr>
                <w:sz w:val="18"/>
              </w:rPr>
              <w:t>Avg asking rent (net, C&amp;W methodology)</w:t>
            </w:r>
          </w:p>
        </w:tc>
        <w:tc>
          <w:tcPr>
            <w:tcW w:type="dxa" w:w="2721"/>
          </w:tcPr>
          <w:p>
            <w:pPr>
              <w:spacing w:after="40" w:before="40"/>
            </w:pPr>
            <w:r>
              <w:rPr>
                <w:sz w:val="18"/>
              </w:rPr>
              <w:t>$7.78/SF/yr (Q4 2025); $7.87/SF/yr (Q2 2026)</w:t>
            </w:r>
          </w:p>
        </w:tc>
        <w:tc>
          <w:tcPr>
            <w:tcW w:type="dxa" w:w="1247"/>
          </w:tcPr>
          <w:p>
            <w:pPr>
              <w:spacing w:after="40" w:before="40"/>
            </w:pPr>
            <w:r>
              <w:rPr>
                <w:sz w:val="18"/>
              </w:rPr>
              <w:t>Q4 2025 / Q2 2026</w:t>
            </w:r>
          </w:p>
        </w:tc>
        <w:tc>
          <w:tcPr>
            <w:tcW w:type="dxa" w:w="3061"/>
          </w:tcPr>
          <w:p>
            <w:pPr>
              <w:spacing w:after="40" w:before="40"/>
            </w:pPr>
            <w:r>
              <w:rPr>
                <w:sz w:val="18"/>
              </w:rPr>
              <w:t>Cushman &amp; Wakefield Houston MarketBeat</w:t>
            </w:r>
          </w:p>
        </w:tc>
      </w:tr>
    </w:tbl>
    <w:p>
      <w:pPr>
        <w:pStyle w:val="SourceNote"/>
      </w:pPr>
      <w:r>
        <w:t>Source: Greater Houston Partnership (houston.org/houston-data/quarterly-update-industrial-market); Partners Real Estate Q2 2026; Colliers Q2 2026; WareCRE Q1 2026; Cushman &amp; Wakefield. Broker reports use different methodologies (gross vs. net asking; all-industrial vs. warehouse-only), hence the $7.78–$10.57 spread; Partners/Colliers/GHP (~$9.73–$10.57 NNN) are the best all-product proxies.</w:t>
      </w:r>
    </w:p>
    <w:p>
      <w:pPr>
        <w:pStyle w:val="Heading2"/>
      </w:pPr>
      <w:r>
        <w:t>Rents by subtype and submarket</w:t>
      </w:r>
    </w:p>
    <w:tbl>
      <w:tblPr>
        <w:tblStyle w:val="MediumShading1-Accent1"/>
        <w:tblW w:type="auto" w:w="0"/>
        <w:tblLayout w:type="fixed"/>
        <w:tblLook w:firstColumn="1" w:firstRow="1" w:lastColumn="0" w:lastRow="0" w:noHBand="0" w:noVBand="1" w:val="04A0"/>
      </w:tblPr>
      <w:tblGrid>
        <w:gridCol w:w="2493"/>
        <w:gridCol w:w="2493"/>
        <w:gridCol w:w="2493"/>
        <w:gridCol w:w="2493"/>
      </w:tblGrid>
      <w:tr>
        <w:trPr>
          <w:tblHeader w:val="true"/>
        </w:trPr>
        <w:tc>
          <w:tcPr>
            <w:tcW w:type="dxa" w:w="2608"/>
          </w:tcPr>
          <w:p>
            <w:pPr>
              <w:spacing w:after="40" w:before="40"/>
            </w:pPr>
            <w:r>
              <w:rPr>
                <w:b/>
                <w:sz w:val="18"/>
              </w:rPr>
              <w:t>Metric</w:t>
            </w:r>
          </w:p>
        </w:tc>
        <w:tc>
          <w:tcPr>
            <w:tcW w:type="dxa" w:w="2721"/>
          </w:tcPr>
          <w:p>
            <w:pPr>
              <w:spacing w:after="40" w:before="40"/>
            </w:pPr>
            <w:r>
              <w:rPr>
                <w:b/>
                <w:sz w:val="18"/>
              </w:rPr>
              <w:t>Value</w:t>
            </w:r>
          </w:p>
        </w:tc>
        <w:tc>
          <w:tcPr>
            <w:tcW w:type="dxa" w:w="1247"/>
          </w:tcPr>
          <w:p>
            <w:pPr>
              <w:spacing w:after="40" w:before="40"/>
            </w:pPr>
            <w:r>
              <w:rPr>
                <w:b/>
                <w:sz w:val="18"/>
              </w:rPr>
              <w:t>Period</w:t>
            </w:r>
          </w:p>
        </w:tc>
        <w:tc>
          <w:tcPr>
            <w:tcW w:type="dxa" w:w="3061"/>
          </w:tcPr>
          <w:p>
            <w:pPr>
              <w:spacing w:after="40" w:before="40"/>
            </w:pPr>
            <w:r>
              <w:rPr>
                <w:b/>
                <w:sz w:val="18"/>
              </w:rPr>
              <w:t>Source</w:t>
            </w:r>
          </w:p>
        </w:tc>
      </w:tr>
      <w:tr>
        <w:tc>
          <w:tcPr>
            <w:tcW w:type="dxa" w:w="2608"/>
          </w:tcPr>
          <w:p>
            <w:pPr>
              <w:spacing w:after="40" w:before="40"/>
            </w:pPr>
            <w:r>
              <w:rPr>
                <w:sz w:val="18"/>
              </w:rPr>
              <w:t>Flex (metro subtype)</w:t>
            </w:r>
          </w:p>
        </w:tc>
        <w:tc>
          <w:tcPr>
            <w:tcW w:type="dxa" w:w="2721"/>
          </w:tcPr>
          <w:p>
            <w:pPr>
              <w:spacing w:after="40" w:before="40"/>
            </w:pPr>
            <w:r>
              <w:rPr>
                <w:sz w:val="18"/>
              </w:rPr>
              <w:t>$0.98/SF/mo NNN (≈ $11.8/SF/yr); Q3 2025: $1.01/SF/mo NNN</w:t>
            </w:r>
          </w:p>
        </w:tc>
        <w:tc>
          <w:tcPr>
            <w:tcW w:type="dxa" w:w="1247"/>
          </w:tcPr>
          <w:p>
            <w:pPr>
              <w:spacing w:after="40" w:before="40"/>
            </w:pPr>
            <w:r>
              <w:rPr>
                <w:sz w:val="18"/>
              </w:rPr>
              <w:t>Q1 2026 / Q3 2025</w:t>
            </w:r>
          </w:p>
        </w:tc>
        <w:tc>
          <w:tcPr>
            <w:tcW w:type="dxa" w:w="3061"/>
          </w:tcPr>
          <w:p>
            <w:pPr>
              <w:spacing w:after="40" w:before="40"/>
            </w:pPr>
            <w:r>
              <w:rPr>
                <w:sz w:val="18"/>
              </w:rPr>
              <w:t>WareCRE Q1 2026; Partners Q3 2025</w:t>
            </w:r>
          </w:p>
        </w:tc>
      </w:tr>
      <w:tr>
        <w:tc>
          <w:tcPr>
            <w:tcW w:type="dxa" w:w="2608"/>
          </w:tcPr>
          <w:p>
            <w:pPr>
              <w:spacing w:after="40" w:before="40"/>
            </w:pPr>
            <w:r>
              <w:rPr>
                <w:sz w:val="18"/>
              </w:rPr>
              <w:t>Warehouse/distribution (metro subtype)</w:t>
            </w:r>
          </w:p>
        </w:tc>
        <w:tc>
          <w:tcPr>
            <w:tcW w:type="dxa" w:w="2721"/>
          </w:tcPr>
          <w:p>
            <w:pPr>
              <w:spacing w:after="40" w:before="40"/>
            </w:pPr>
            <w:r>
              <w:rPr>
                <w:sz w:val="18"/>
              </w:rPr>
              <w:t>$0.83–$0.84/SF/mo NNN</w:t>
            </w:r>
          </w:p>
        </w:tc>
        <w:tc>
          <w:tcPr>
            <w:tcW w:type="dxa" w:w="1247"/>
          </w:tcPr>
          <w:p>
            <w:pPr>
              <w:spacing w:after="40" w:before="40"/>
            </w:pPr>
            <w:r>
              <w:rPr>
                <w:sz w:val="18"/>
              </w:rPr>
              <w:t>Q1 2026 / Q3 2025</w:t>
            </w:r>
          </w:p>
        </w:tc>
        <w:tc>
          <w:tcPr>
            <w:tcW w:type="dxa" w:w="3061"/>
          </w:tcPr>
          <w:p>
            <w:pPr>
              <w:spacing w:after="40" w:before="40"/>
            </w:pPr>
            <w:r>
              <w:rPr>
                <w:sz w:val="18"/>
              </w:rPr>
              <w:t>WareCRE; Partners Q3 2025</w:t>
            </w:r>
          </w:p>
        </w:tc>
      </w:tr>
      <w:tr>
        <w:tc>
          <w:tcPr>
            <w:tcW w:type="dxa" w:w="2608"/>
          </w:tcPr>
          <w:p>
            <w:pPr>
              <w:spacing w:after="40" w:before="40"/>
            </w:pPr>
            <w:r>
              <w:rPr>
                <w:sz w:val="18"/>
              </w:rPr>
              <w:t>R&amp;D subtype (highest industrial subtype)</w:t>
            </w:r>
          </w:p>
        </w:tc>
        <w:tc>
          <w:tcPr>
            <w:tcW w:type="dxa" w:w="2721"/>
          </w:tcPr>
          <w:p>
            <w:pPr>
              <w:spacing w:after="40" w:before="40"/>
            </w:pPr>
            <w:r>
              <w:rPr>
                <w:sz w:val="18"/>
              </w:rPr>
              <w:t>$20.48/SF/yr NNN</w:t>
            </w:r>
          </w:p>
        </w:tc>
        <w:tc>
          <w:tcPr>
            <w:tcW w:type="dxa" w:w="1247"/>
          </w:tcPr>
          <w:p>
            <w:pPr>
              <w:spacing w:after="40" w:before="40"/>
            </w:pPr>
            <w:r>
              <w:rPr>
                <w:sz w:val="18"/>
              </w:rPr>
              <w:t>Q2 2026</w:t>
            </w:r>
          </w:p>
        </w:tc>
        <w:tc>
          <w:tcPr>
            <w:tcW w:type="dxa" w:w="3061"/>
          </w:tcPr>
          <w:p>
            <w:pPr>
              <w:spacing w:after="40" w:before="40"/>
            </w:pPr>
            <w:r>
              <w:rPr>
                <w:sz w:val="18"/>
              </w:rPr>
              <w:t>Partners Real Estate Q2 2026</w:t>
            </w:r>
          </w:p>
        </w:tc>
      </w:tr>
      <w:tr>
        <w:tc>
          <w:tcPr>
            <w:tcW w:type="dxa" w:w="2608"/>
          </w:tcPr>
          <w:p>
            <w:pPr>
              <w:spacing w:after="40" w:before="40"/>
            </w:pPr>
            <w:r>
              <w:rPr>
                <w:sz w:val="18"/>
              </w:rPr>
              <w:t>Energy Corridor industrial (direct listings)</w:t>
            </w:r>
          </w:p>
        </w:tc>
        <w:tc>
          <w:tcPr>
            <w:tcW w:type="dxa" w:w="2721"/>
          </w:tcPr>
          <w:p>
            <w:pPr>
              <w:spacing w:after="40" w:before="40"/>
            </w:pPr>
            <w:r>
              <w:rPr>
                <w:sz w:val="18"/>
              </w:rPr>
              <w:t>$11/SF/yr avg (3 listings, avg 5,068 SF)</w:t>
            </w:r>
          </w:p>
        </w:tc>
        <w:tc>
          <w:tcPr>
            <w:tcW w:type="dxa" w:w="1247"/>
          </w:tcPr>
          <w:p>
            <w:pPr>
              <w:spacing w:after="40" w:before="40"/>
            </w:pPr>
            <w:r>
              <w:rPr>
                <w:sz w:val="18"/>
              </w:rPr>
              <w:t>Oct 2026</w:t>
            </w:r>
          </w:p>
        </w:tc>
        <w:tc>
          <w:tcPr>
            <w:tcW w:type="dxa" w:w="3061"/>
          </w:tcPr>
          <w:p>
            <w:pPr>
              <w:spacing w:after="40" w:before="40"/>
            </w:pPr>
            <w:r>
              <w:rPr>
                <w:sz w:val="18"/>
              </w:rPr>
              <w:t>LoopNet Energy Corridor industrial search</w:t>
            </w:r>
          </w:p>
        </w:tc>
      </w:tr>
      <w:tr>
        <w:tc>
          <w:tcPr>
            <w:tcW w:type="dxa" w:w="2608"/>
          </w:tcPr>
          <w:p>
            <w:pPr>
              <w:spacing w:after="40" w:before="40"/>
            </w:pPr>
            <w:r>
              <w:rPr>
                <w:sz w:val="18"/>
              </w:rPr>
              <w:t>Energy Corridor flex (direct listings)</w:t>
            </w:r>
          </w:p>
        </w:tc>
        <w:tc>
          <w:tcPr>
            <w:tcW w:type="dxa" w:w="2721"/>
          </w:tcPr>
          <w:p>
            <w:pPr>
              <w:spacing w:after="40" w:before="40"/>
            </w:pPr>
            <w:r>
              <w:rPr>
                <w:sz w:val="18"/>
              </w:rPr>
              <w:t>$15/SF/yr avg (8 listings, avg 4,580 SF)</w:t>
            </w:r>
          </w:p>
        </w:tc>
        <w:tc>
          <w:tcPr>
            <w:tcW w:type="dxa" w:w="1247"/>
          </w:tcPr>
          <w:p>
            <w:pPr>
              <w:spacing w:after="40" w:before="40"/>
            </w:pPr>
            <w:r>
              <w:rPr>
                <w:sz w:val="18"/>
              </w:rPr>
              <w:t>Oct 2026</w:t>
            </w:r>
          </w:p>
        </w:tc>
        <w:tc>
          <w:tcPr>
            <w:tcW w:type="dxa" w:w="3061"/>
          </w:tcPr>
          <w:p>
            <w:pPr>
              <w:spacing w:after="40" w:before="40"/>
            </w:pPr>
            <w:r>
              <w:rPr>
                <w:sz w:val="18"/>
              </w:rPr>
              <w:t>LoopNet Energy Corridor flex search</w:t>
            </w:r>
          </w:p>
        </w:tc>
      </w:tr>
      <w:tr>
        <w:tc>
          <w:tcPr>
            <w:tcW w:type="dxa" w:w="2608"/>
          </w:tcPr>
          <w:p>
            <w:pPr>
              <w:spacing w:after="40" w:before="40"/>
            </w:pPr>
            <w:r>
              <w:rPr>
                <w:sz w:val="18"/>
              </w:rPr>
              <w:t>Energy Corridor laboratory (direct listings)</w:t>
            </w:r>
          </w:p>
        </w:tc>
        <w:tc>
          <w:tcPr>
            <w:tcW w:type="dxa" w:w="2721"/>
          </w:tcPr>
          <w:p>
            <w:pPr>
              <w:spacing w:after="40" w:before="40"/>
            </w:pPr>
            <w:r>
              <w:rPr>
                <w:sz w:val="18"/>
              </w:rPr>
              <w:t>$13/SF/yr avg (1 listing, avg 12,258 SF)</w:t>
            </w:r>
          </w:p>
        </w:tc>
        <w:tc>
          <w:tcPr>
            <w:tcW w:type="dxa" w:w="1247"/>
          </w:tcPr>
          <w:p>
            <w:pPr>
              <w:spacing w:after="40" w:before="40"/>
            </w:pPr>
            <w:r>
              <w:rPr>
                <w:sz w:val="18"/>
              </w:rPr>
              <w:t>Oct 2026</w:t>
            </w:r>
          </w:p>
        </w:tc>
        <w:tc>
          <w:tcPr>
            <w:tcW w:type="dxa" w:w="3061"/>
          </w:tcPr>
          <w:p>
            <w:pPr>
              <w:spacing w:after="40" w:before="40"/>
            </w:pPr>
            <w:r>
              <w:rPr>
                <w:sz w:val="18"/>
              </w:rPr>
              <w:t>LoopNet Energy Corridor laboratories search</w:t>
            </w:r>
          </w:p>
        </w:tc>
      </w:tr>
      <w:tr>
        <w:tc>
          <w:tcPr>
            <w:tcW w:type="dxa" w:w="2608"/>
          </w:tcPr>
          <w:p>
            <w:pPr>
              <w:spacing w:after="40" w:before="40"/>
            </w:pPr>
            <w:r>
              <w:rPr>
                <w:sz w:val="18"/>
              </w:rPr>
              <w:t>Houston life-science / lab (metro)</w:t>
            </w:r>
          </w:p>
        </w:tc>
        <w:tc>
          <w:tcPr>
            <w:tcW w:type="dxa" w:w="2721"/>
          </w:tcPr>
          <w:p>
            <w:pPr>
              <w:spacing w:after="40" w:before="40"/>
            </w:pPr>
            <w:r>
              <w:rPr>
                <w:sz w:val="18"/>
              </w:rPr>
              <w:t>$47.53/SF/yr NNN; vacancy 19.39%; 4.42 MSF inventory</w:t>
            </w:r>
          </w:p>
        </w:tc>
        <w:tc>
          <w:tcPr>
            <w:tcW w:type="dxa" w:w="1247"/>
          </w:tcPr>
          <w:p>
            <w:pPr>
              <w:spacing w:after="40" w:before="40"/>
            </w:pPr>
            <w:r>
              <w:rPr>
                <w:sz w:val="18"/>
              </w:rPr>
              <w:t>Q3 2024</w:t>
            </w:r>
          </w:p>
        </w:tc>
        <w:tc>
          <w:tcPr>
            <w:tcW w:type="dxa" w:w="3061"/>
          </w:tcPr>
          <w:p>
            <w:pPr>
              <w:spacing w:after="40" w:before="40"/>
            </w:pPr>
            <w:r>
              <w:rPr>
                <w:sz w:val="18"/>
              </w:rPr>
              <w:t>Transwestern U.S. Life Sciences (Houston section)</w:t>
            </w:r>
          </w:p>
        </w:tc>
      </w:tr>
      <w:tr>
        <w:tc>
          <w:tcPr>
            <w:tcW w:type="dxa" w:w="2608"/>
          </w:tcPr>
          <w:p>
            <w:pPr>
              <w:spacing w:after="40" w:before="40"/>
            </w:pPr>
            <w:r>
              <w:rPr>
                <w:sz w:val="18"/>
              </w:rPr>
              <w:t>West submarket asking (Energy Corridor proxy)</w:t>
            </w:r>
          </w:p>
        </w:tc>
        <w:tc>
          <w:tcPr>
            <w:tcW w:type="dxa" w:w="2721"/>
          </w:tcPr>
          <w:p>
            <w:pPr>
              <w:spacing w:after="40" w:before="40"/>
            </w:pPr>
            <w:r>
              <w:rPr>
                <w:sz w:val="18"/>
              </w:rPr>
              <w:t>$8.99/SF/yr — among the highest in the metro</w:t>
            </w:r>
          </w:p>
        </w:tc>
        <w:tc>
          <w:tcPr>
            <w:tcW w:type="dxa" w:w="1247"/>
          </w:tcPr>
          <w:p>
            <w:pPr>
              <w:spacing w:after="40" w:before="40"/>
            </w:pPr>
            <w:r>
              <w:rPr>
                <w:sz w:val="18"/>
              </w:rPr>
              <w:t>Q2 2026</w:t>
            </w:r>
          </w:p>
        </w:tc>
        <w:tc>
          <w:tcPr>
            <w:tcW w:type="dxa" w:w="3061"/>
          </w:tcPr>
          <w:p>
            <w:pPr>
              <w:spacing w:after="40" w:before="40"/>
            </w:pPr>
            <w:r>
              <w:rPr>
                <w:sz w:val="18"/>
              </w:rPr>
              <w:t>Cushman &amp; Wakefield Houston Industrial MarketBeat Q2 2026</w:t>
            </w:r>
          </w:p>
        </w:tc>
      </w:tr>
      <w:tr>
        <w:tc>
          <w:tcPr>
            <w:tcW w:type="dxa" w:w="2608"/>
          </w:tcPr>
          <w:p>
            <w:pPr>
              <w:spacing w:after="40" w:before="40"/>
            </w:pPr>
            <w:r>
              <w:rPr>
                <w:sz w:val="18"/>
              </w:rPr>
              <w:t>Corridor small-bay NNN comps observed</w:t>
            </w:r>
          </w:p>
        </w:tc>
        <w:tc>
          <w:tcPr>
            <w:tcW w:type="dxa" w:w="2721"/>
          </w:tcPr>
          <w:p>
            <w:pPr>
              <w:spacing w:after="40" w:before="40"/>
            </w:pPr>
            <w:r>
              <w:rPr>
                <w:sz w:val="18"/>
              </w:rPr>
              <w:t>$9–$14/SF/yr (Goar Rd $11; 19407 Park Row $12; 15330 Park Row $9; Katy flex $13–14)</w:t>
            </w:r>
          </w:p>
        </w:tc>
        <w:tc>
          <w:tcPr>
            <w:tcW w:type="dxa" w:w="1247"/>
          </w:tcPr>
          <w:p>
            <w:pPr>
              <w:spacing w:after="40" w:before="40"/>
            </w:pPr>
            <w:r>
              <w:rPr>
                <w:sz w:val="18"/>
              </w:rPr>
              <w:t>Oct 2026</w:t>
            </w:r>
          </w:p>
        </w:tc>
        <w:tc>
          <w:tcPr>
            <w:tcW w:type="dxa" w:w="3061"/>
          </w:tcPr>
          <w:p>
            <w:pPr>
              <w:spacing w:after="40" w:before="40"/>
            </w:pPr>
            <w:r>
              <w:rPr>
                <w:sz w:val="18"/>
              </w:rPr>
              <w:t>CityFeet / Showcase / warehousespaces.com listings</w:t>
            </w:r>
          </w:p>
        </w:tc>
      </w:tr>
    </w:tbl>
    <w:p>
      <w:pPr>
        <w:pStyle w:val="SourceNote"/>
      </w:pPr>
      <w:r>
        <w:t>Source: as tabled; LoopNet search pages accessed October 2026; Transwestern life-sciences factsheet Q3 2024. Energy Corridor-specific industrial cuts are not published by major brokerages — Katy/Far West and West Houston submarket data plus LoopNet listing counts are the closest proxies. Houston purpose-built lab product is TMC-anchored (~15 mi east) — outside the 20-mile Energy Corridor search band.</w:t>
      </w:r>
    </w:p>
    <w:p>
      <w:pPr>
        <w:pStyle w:val="Heading2"/>
      </w:pPr>
      <w:r>
        <w:t>Vacancy</w:t>
      </w:r>
    </w:p>
    <w:tbl>
      <w:tblPr>
        <w:tblStyle w:val="MediumShading1-Accent1"/>
        <w:tblW w:type="auto" w:w="0"/>
        <w:tblLayout w:type="fixed"/>
        <w:tblLook w:firstColumn="1" w:firstRow="1" w:lastColumn="0" w:lastRow="0" w:noHBand="0" w:noVBand="1" w:val="04A0"/>
      </w:tblPr>
      <w:tblGrid>
        <w:gridCol w:w="2493"/>
        <w:gridCol w:w="2493"/>
        <w:gridCol w:w="2493"/>
        <w:gridCol w:w="2493"/>
      </w:tblGrid>
      <w:tr>
        <w:trPr>
          <w:tblHeader w:val="true"/>
        </w:trPr>
        <w:tc>
          <w:tcPr>
            <w:tcW w:type="dxa" w:w="2608"/>
          </w:tcPr>
          <w:p>
            <w:pPr>
              <w:spacing w:after="40" w:before="40"/>
            </w:pPr>
            <w:r>
              <w:rPr>
                <w:b/>
                <w:sz w:val="18"/>
              </w:rPr>
              <w:t>Metric</w:t>
            </w:r>
          </w:p>
        </w:tc>
        <w:tc>
          <w:tcPr>
            <w:tcW w:type="dxa" w:w="2721"/>
          </w:tcPr>
          <w:p>
            <w:pPr>
              <w:spacing w:after="40" w:before="40"/>
            </w:pPr>
            <w:r>
              <w:rPr>
                <w:b/>
                <w:sz w:val="18"/>
              </w:rPr>
              <w:t>Value</w:t>
            </w:r>
          </w:p>
        </w:tc>
        <w:tc>
          <w:tcPr>
            <w:tcW w:type="dxa" w:w="1247"/>
          </w:tcPr>
          <w:p>
            <w:pPr>
              <w:spacing w:after="40" w:before="40"/>
            </w:pPr>
            <w:r>
              <w:rPr>
                <w:b/>
                <w:sz w:val="18"/>
              </w:rPr>
              <w:t>Period</w:t>
            </w:r>
          </w:p>
        </w:tc>
        <w:tc>
          <w:tcPr>
            <w:tcW w:type="dxa" w:w="3061"/>
          </w:tcPr>
          <w:p>
            <w:pPr>
              <w:spacing w:after="40" w:before="40"/>
            </w:pPr>
            <w:r>
              <w:rPr>
                <w:b/>
                <w:sz w:val="18"/>
              </w:rPr>
              <w:t>Source</w:t>
            </w:r>
          </w:p>
        </w:tc>
      </w:tr>
      <w:tr>
        <w:tc>
          <w:tcPr>
            <w:tcW w:type="dxa" w:w="2608"/>
          </w:tcPr>
          <w:p>
            <w:pPr>
              <w:spacing w:after="40" w:before="40"/>
            </w:pPr>
            <w:r>
              <w:rPr>
                <w:sz w:val="18"/>
              </w:rPr>
              <w:t>Houston industrial vacancy</w:t>
            </w:r>
          </w:p>
        </w:tc>
        <w:tc>
          <w:tcPr>
            <w:tcW w:type="dxa" w:w="2721"/>
          </w:tcPr>
          <w:p>
            <w:pPr>
              <w:spacing w:after="40" w:before="40"/>
            </w:pPr>
            <w:r>
              <w:rPr>
                <w:sz w:val="18"/>
              </w:rPr>
              <w:t>7.3% — first quarterly decline since Q4 2024</w:t>
            </w:r>
          </w:p>
        </w:tc>
        <w:tc>
          <w:tcPr>
            <w:tcW w:type="dxa" w:w="1247"/>
          </w:tcPr>
          <w:p>
            <w:pPr>
              <w:spacing w:after="40" w:before="40"/>
            </w:pPr>
            <w:r>
              <w:rPr>
                <w:sz w:val="18"/>
              </w:rPr>
              <w:t>Q2 2026</w:t>
            </w:r>
          </w:p>
        </w:tc>
        <w:tc>
          <w:tcPr>
            <w:tcW w:type="dxa" w:w="3061"/>
          </w:tcPr>
          <w:p>
            <w:pPr>
              <w:spacing w:after="40" w:before="40"/>
            </w:pPr>
            <w:r>
              <w:rPr>
                <w:sz w:val="18"/>
              </w:rPr>
              <w:t>Greater Houston Partnership</w:t>
            </w:r>
          </w:p>
        </w:tc>
      </w:tr>
      <w:tr>
        <w:tc>
          <w:tcPr>
            <w:tcW w:type="dxa" w:w="2608"/>
          </w:tcPr>
          <w:p>
            <w:pPr>
              <w:spacing w:after="40" w:before="40"/>
            </w:pPr>
            <w:r>
              <w:rPr>
                <w:sz w:val="18"/>
              </w:rPr>
              <w:t>Overall vacancy / direct / availability</w:t>
            </w:r>
          </w:p>
        </w:tc>
        <w:tc>
          <w:tcPr>
            <w:tcW w:type="dxa" w:w="2721"/>
          </w:tcPr>
          <w:p>
            <w:pPr>
              <w:spacing w:after="40" w:before="40"/>
            </w:pPr>
            <w:r>
              <w:rPr>
                <w:sz w:val="18"/>
              </w:rPr>
              <w:t>7.4% overall (−24 bps QoQ); 6.9% direct; 8.5% availability</w:t>
            </w:r>
          </w:p>
        </w:tc>
        <w:tc>
          <w:tcPr>
            <w:tcW w:type="dxa" w:w="1247"/>
          </w:tcPr>
          <w:p>
            <w:pPr>
              <w:spacing w:after="40" w:before="40"/>
            </w:pPr>
            <w:r>
              <w:rPr>
                <w:sz w:val="18"/>
              </w:rPr>
              <w:t>Q2 2026</w:t>
            </w:r>
          </w:p>
        </w:tc>
        <w:tc>
          <w:tcPr>
            <w:tcW w:type="dxa" w:w="3061"/>
          </w:tcPr>
          <w:p>
            <w:pPr>
              <w:spacing w:after="40" w:before="40"/>
            </w:pPr>
            <w:r>
              <w:rPr>
                <w:sz w:val="18"/>
              </w:rPr>
              <w:t>Partners Real Estate Q2 2026</w:t>
            </w:r>
          </w:p>
        </w:tc>
      </w:tr>
      <w:tr>
        <w:tc>
          <w:tcPr>
            <w:tcW w:type="dxa" w:w="2608"/>
          </w:tcPr>
          <w:p>
            <w:pPr>
              <w:spacing w:after="40" w:before="40"/>
            </w:pPr>
            <w:r>
              <w:rPr>
                <w:sz w:val="18"/>
              </w:rPr>
              <w:t>Overall vacancy</w:t>
            </w:r>
          </w:p>
        </w:tc>
        <w:tc>
          <w:tcPr>
            <w:tcW w:type="dxa" w:w="2721"/>
          </w:tcPr>
          <w:p>
            <w:pPr>
              <w:spacing w:after="40" w:before="40"/>
            </w:pPr>
            <w:r>
              <w:rPr>
                <w:sz w:val="18"/>
              </w:rPr>
              <w:t>7.2% (−40 bps QoQ)</w:t>
            </w:r>
          </w:p>
        </w:tc>
        <w:tc>
          <w:tcPr>
            <w:tcW w:type="dxa" w:w="1247"/>
          </w:tcPr>
          <w:p>
            <w:pPr>
              <w:spacing w:after="40" w:before="40"/>
            </w:pPr>
            <w:r>
              <w:rPr>
                <w:sz w:val="18"/>
              </w:rPr>
              <w:t>Q2 2026</w:t>
            </w:r>
          </w:p>
        </w:tc>
        <w:tc>
          <w:tcPr>
            <w:tcW w:type="dxa" w:w="3061"/>
          </w:tcPr>
          <w:p>
            <w:pPr>
              <w:spacing w:after="40" w:before="40"/>
            </w:pPr>
            <w:r>
              <w:rPr>
                <w:sz w:val="18"/>
              </w:rPr>
              <w:t>Colliers Q2 2026</w:t>
            </w:r>
          </w:p>
        </w:tc>
      </w:tr>
      <w:tr>
        <w:tc>
          <w:tcPr>
            <w:tcW w:type="dxa" w:w="2608"/>
          </w:tcPr>
          <w:p>
            <w:pPr>
              <w:spacing w:after="40" w:before="40"/>
            </w:pPr>
            <w:r>
              <w:rPr>
                <w:sz w:val="18"/>
              </w:rPr>
              <w:t>Flex vacancy (loosest subtype)</w:t>
            </w:r>
          </w:p>
        </w:tc>
        <w:tc>
          <w:tcPr>
            <w:tcW w:type="dxa" w:w="2721"/>
          </w:tcPr>
          <w:p>
            <w:pPr>
              <w:spacing w:after="40" w:before="40"/>
            </w:pPr>
            <w:r>
              <w:rPr>
                <w:sz w:val="18"/>
              </w:rPr>
              <w:t>11.8%</w:t>
            </w:r>
          </w:p>
        </w:tc>
        <w:tc>
          <w:tcPr>
            <w:tcW w:type="dxa" w:w="1247"/>
          </w:tcPr>
          <w:p>
            <w:pPr>
              <w:spacing w:after="40" w:before="40"/>
            </w:pPr>
            <w:r>
              <w:rPr>
                <w:sz w:val="18"/>
              </w:rPr>
              <w:t>Q1 2026</w:t>
            </w:r>
          </w:p>
        </w:tc>
        <w:tc>
          <w:tcPr>
            <w:tcW w:type="dxa" w:w="3061"/>
          </w:tcPr>
          <w:p>
            <w:pPr>
              <w:spacing w:after="40" w:before="40"/>
            </w:pPr>
            <w:r>
              <w:rPr>
                <w:sz w:val="18"/>
              </w:rPr>
              <w:t>WareCRE Q1 2026</w:t>
            </w:r>
          </w:p>
        </w:tc>
      </w:tr>
      <w:tr>
        <w:tc>
          <w:tcPr>
            <w:tcW w:type="dxa" w:w="2608"/>
          </w:tcPr>
          <w:p>
            <w:pPr>
              <w:spacing w:after="40" w:before="40"/>
            </w:pPr>
            <w:r>
              <w:rPr>
                <w:sz w:val="18"/>
              </w:rPr>
              <w:t>Sublease availability</w:t>
            </w:r>
          </w:p>
        </w:tc>
        <w:tc>
          <w:tcPr>
            <w:tcW w:type="dxa" w:w="2721"/>
          </w:tcPr>
          <w:p>
            <w:pPr>
              <w:spacing w:after="40" w:before="40"/>
            </w:pPr>
            <w:r>
              <w:rPr>
                <w:sz w:val="18"/>
              </w:rPr>
              <w:t>7.3M SF</w:t>
            </w:r>
          </w:p>
        </w:tc>
        <w:tc>
          <w:tcPr>
            <w:tcW w:type="dxa" w:w="1247"/>
          </w:tcPr>
          <w:p>
            <w:pPr>
              <w:spacing w:after="40" w:before="40"/>
            </w:pPr>
            <w:r>
              <w:rPr>
                <w:sz w:val="18"/>
              </w:rPr>
              <w:t>Q2 2026</w:t>
            </w:r>
          </w:p>
        </w:tc>
        <w:tc>
          <w:tcPr>
            <w:tcW w:type="dxa" w:w="3061"/>
          </w:tcPr>
          <w:p>
            <w:pPr>
              <w:spacing w:after="40" w:before="40"/>
            </w:pPr>
            <w:r>
              <w:rPr>
                <w:sz w:val="18"/>
              </w:rPr>
              <w:t>Colliers Q2 2026</w:t>
            </w:r>
          </w:p>
        </w:tc>
      </w:tr>
      <w:tr>
        <w:tc>
          <w:tcPr>
            <w:tcW w:type="dxa" w:w="2608"/>
          </w:tcPr>
          <w:p>
            <w:pPr>
              <w:spacing w:after="40" w:before="40"/>
            </w:pPr>
            <w:r>
              <w:rPr>
                <w:sz w:val="18"/>
              </w:rPr>
              <w:t>Katy/Far West (Energy Corridor proxy)</w:t>
            </w:r>
          </w:p>
        </w:tc>
        <w:tc>
          <w:tcPr>
            <w:tcW w:type="dxa" w:w="2721"/>
          </w:tcPr>
          <w:p>
            <w:pPr>
              <w:spacing w:after="40" w:before="40"/>
            </w:pPr>
            <w:r>
              <w:rPr>
                <w:sz w:val="18"/>
              </w:rPr>
              <w:t>11.3% direct vacancy; 2.6M SF UC, 17.1% pre-leased (dated)</w:t>
            </w:r>
          </w:p>
        </w:tc>
        <w:tc>
          <w:tcPr>
            <w:tcW w:type="dxa" w:w="1247"/>
          </w:tcPr>
          <w:p>
            <w:pPr>
              <w:spacing w:after="40" w:before="40"/>
            </w:pPr>
            <w:r>
              <w:rPr>
                <w:sz w:val="18"/>
              </w:rPr>
              <w:t>Q3 2023</w:t>
            </w:r>
          </w:p>
        </w:tc>
        <w:tc>
          <w:tcPr>
            <w:tcW w:type="dxa" w:w="3061"/>
          </w:tcPr>
          <w:p>
            <w:pPr>
              <w:spacing w:after="40" w:before="40"/>
            </w:pPr>
            <w:r>
              <w:rPr>
                <w:sz w:val="18"/>
              </w:rPr>
              <w:t>Transwestern Katy/Far West factsheet</w:t>
            </w:r>
          </w:p>
        </w:tc>
      </w:tr>
      <w:tr>
        <w:tc>
          <w:tcPr>
            <w:tcW w:type="dxa" w:w="2608"/>
          </w:tcPr>
          <w:p>
            <w:pPr>
              <w:spacing w:after="40" w:before="40"/>
            </w:pPr>
            <w:r>
              <w:rPr>
                <w:sz w:val="18"/>
              </w:rPr>
              <w:t>Energy Corridor Class A office (context)</w:t>
            </w:r>
          </w:p>
        </w:tc>
        <w:tc>
          <w:tcPr>
            <w:tcW w:type="dxa" w:w="2721"/>
          </w:tcPr>
          <w:p>
            <w:pPr>
              <w:spacing w:after="40" w:before="40"/>
            </w:pPr>
            <w:r>
              <w:rPr>
                <w:sz w:val="18"/>
              </w:rPr>
              <w:t>16.3% vacancy — tightest in metro; $60.26/SF asking</w:t>
            </w:r>
          </w:p>
        </w:tc>
        <w:tc>
          <w:tcPr>
            <w:tcW w:type="dxa" w:w="1247"/>
          </w:tcPr>
          <w:p>
            <w:pPr>
              <w:spacing w:after="40" w:before="40"/>
            </w:pPr>
            <w:r>
              <w:rPr>
                <w:sz w:val="18"/>
              </w:rPr>
              <w:t>Q1 2026</w:t>
            </w:r>
          </w:p>
        </w:tc>
        <w:tc>
          <w:tcPr>
            <w:tcW w:type="dxa" w:w="3061"/>
          </w:tcPr>
          <w:p>
            <w:pPr>
              <w:spacing w:after="40" w:before="40"/>
            </w:pPr>
            <w:r>
              <w:rPr>
                <w:sz w:val="18"/>
              </w:rPr>
              <w:t>Coy Davidson / The Tenant Advisor</w:t>
            </w:r>
          </w:p>
        </w:tc>
      </w:tr>
    </w:tbl>
    <w:p>
      <w:pPr>
        <w:pStyle w:val="SourceNote"/>
      </w:pPr>
      <w:r>
        <w:t>Source: as tabled. Takeaway: metro vacancy ~7.3% is above the 10-year average (~6.3%), but small-bay/flex is the tight, landlord-favored segment — WareCRE explicitly advises small-bay/flex tenants to 'move with more urgency' while big-box tenants enjoy leverage.</w:t>
      </w:r>
    </w:p>
    <w:p>
      <w:pPr>
        <w:pStyle w:val="Heading2"/>
      </w:pPr>
      <w:r>
        <w:t>Concessions &amp; lease terms</w:t>
      </w:r>
    </w:p>
    <w:tbl>
      <w:tblPr>
        <w:tblStyle w:val="MediumShading1-Accent1"/>
        <w:tblW w:type="auto" w:w="0"/>
        <w:tblLayout w:type="fixed"/>
        <w:tblLook w:firstColumn="1" w:firstRow="1" w:lastColumn="0" w:lastRow="0" w:noHBand="0" w:noVBand="1" w:val="04A0"/>
      </w:tblPr>
      <w:tblGrid>
        <w:gridCol w:w="3324"/>
        <w:gridCol w:w="3324"/>
        <w:gridCol w:w="3324"/>
      </w:tblGrid>
      <w:tr>
        <w:trPr>
          <w:tblHeader w:val="true"/>
        </w:trPr>
        <w:tc>
          <w:tcPr>
            <w:tcW w:type="dxa" w:w="2154"/>
          </w:tcPr>
          <w:p>
            <w:pPr>
              <w:spacing w:after="40" w:before="40"/>
            </w:pPr>
            <w:r>
              <w:rPr>
                <w:b/>
                <w:sz w:val="18"/>
              </w:rPr>
              <w:t>Item</w:t>
            </w:r>
          </w:p>
        </w:tc>
        <w:tc>
          <w:tcPr>
            <w:tcW w:type="dxa" w:w="5216"/>
          </w:tcPr>
          <w:p>
            <w:pPr>
              <w:spacing w:after="40" w:before="40"/>
            </w:pPr>
            <w:r>
              <w:rPr>
                <w:b/>
                <w:sz w:val="18"/>
              </w:rPr>
              <w:t>Houston industrial market practice (2026)</w:t>
            </w:r>
          </w:p>
        </w:tc>
        <w:tc>
          <w:tcPr>
            <w:tcW w:type="dxa" w:w="2268"/>
          </w:tcPr>
          <w:p>
            <w:pPr>
              <w:spacing w:after="40" w:before="40"/>
            </w:pPr>
            <w:r>
              <w:rPr>
                <w:b/>
                <w:sz w:val="18"/>
              </w:rPr>
              <w:t>Source</w:t>
            </w:r>
          </w:p>
        </w:tc>
      </w:tr>
      <w:tr>
        <w:tc>
          <w:tcPr>
            <w:tcW w:type="dxa" w:w="2154"/>
          </w:tcPr>
          <w:p>
            <w:pPr>
              <w:spacing w:after="40" w:before="40"/>
            </w:pPr>
            <w:r>
              <w:rPr>
                <w:sz w:val="18"/>
              </w:rPr>
              <w:t>Free rent</w:t>
            </w:r>
          </w:p>
        </w:tc>
        <w:tc>
          <w:tcPr>
            <w:tcW w:type="dxa" w:w="5216"/>
          </w:tcPr>
          <w:p>
            <w:pPr>
              <w:spacing w:after="40" w:before="40"/>
            </w:pPr>
            <w:r>
              <w:rPr>
                <w:sz w:val="18"/>
              </w:rPr>
              <w:t>4–6 months common on 5-year terms for large logistics space (100,000+ SF), vs 0–1 month in 2022; materially thinner on small-bay/flex (a live NW Houston ±2,000 SF listing advertised 2 months free — anecdote, not a market stat)</w:t>
            </w:r>
          </w:p>
        </w:tc>
        <w:tc>
          <w:tcPr>
            <w:tcW w:type="dxa" w:w="2268"/>
          </w:tcPr>
          <w:p>
            <w:pPr>
              <w:spacing w:after="40" w:before="40"/>
            </w:pPr>
            <w:r>
              <w:rPr>
                <w:sz w:val="18"/>
              </w:rPr>
              <w:t>HAR.com / Place Realty Partners, Q2 2026 data</w:t>
            </w:r>
          </w:p>
        </w:tc>
      </w:tr>
      <w:tr>
        <w:tc>
          <w:tcPr>
            <w:tcW w:type="dxa" w:w="2154"/>
          </w:tcPr>
          <w:p>
            <w:pPr>
              <w:spacing w:after="40" w:before="40"/>
            </w:pPr>
            <w:r>
              <w:rPr>
                <w:sz w:val="18"/>
              </w:rPr>
              <w:t>TI allowances</w:t>
            </w:r>
          </w:p>
        </w:tc>
        <w:tc>
          <w:tcPr>
            <w:tcW w:type="dxa" w:w="5216"/>
          </w:tcPr>
          <w:p>
            <w:pPr>
              <w:spacing w:after="40" w:before="40"/>
            </w:pPr>
            <w:r>
              <w:rPr>
                <w:sz w:val="18"/>
              </w:rPr>
              <w:t>$6–$12/SF for large bulk distribution space (up 15–20% YoY); small-bay TI thinner; general industrial 2nd-gen benchmarks $5–15/SF, shell+office $15–40/SF; medical/lab-adjacent build-outs routinely higher</w:t>
            </w:r>
          </w:p>
        </w:tc>
        <w:tc>
          <w:tcPr>
            <w:tcW w:type="dxa" w:w="2268"/>
          </w:tcPr>
          <w:p>
            <w:pPr>
              <w:spacing w:after="40" w:before="40"/>
            </w:pPr>
            <w:r>
              <w:rPr>
                <w:sz w:val="18"/>
              </w:rPr>
              <w:t>HAR.com 2026; Tyler Cauble CRE; APERS (general benchmarks)</w:t>
            </w:r>
          </w:p>
        </w:tc>
      </w:tr>
      <w:tr>
        <w:tc>
          <w:tcPr>
            <w:tcW w:type="dxa" w:w="2154"/>
          </w:tcPr>
          <w:p>
            <w:pPr>
              <w:spacing w:after="40" w:before="40"/>
            </w:pPr>
            <w:r>
              <w:rPr>
                <w:sz w:val="18"/>
              </w:rPr>
              <w:t>Lease terms</w:t>
            </w:r>
          </w:p>
        </w:tc>
        <w:tc>
          <w:tcPr>
            <w:tcW w:type="dxa" w:w="5216"/>
          </w:tcPr>
          <w:p>
            <w:pPr>
              <w:spacing w:after="40" w:before="40"/>
            </w:pPr>
            <w:r>
              <w:rPr>
                <w:sz w:val="18"/>
              </w:rPr>
              <w:t>5–10 years remain the norm; 1–3 year terms increasingly offered; some 1-year renewal options</w:t>
            </w:r>
          </w:p>
        </w:tc>
        <w:tc>
          <w:tcPr>
            <w:tcW w:type="dxa" w:w="2268"/>
          </w:tcPr>
          <w:p>
            <w:pPr>
              <w:spacing w:after="40" w:before="40"/>
            </w:pPr>
            <w:r>
              <w:rPr>
                <w:sz w:val="18"/>
              </w:rPr>
              <w:t>HAR.com / Place Realty Partners 2026</w:t>
            </w:r>
          </w:p>
        </w:tc>
      </w:tr>
      <w:tr>
        <w:tc>
          <w:tcPr>
            <w:tcW w:type="dxa" w:w="2154"/>
          </w:tcPr>
          <w:p>
            <w:pPr>
              <w:spacing w:after="40" w:before="40"/>
            </w:pPr>
            <w:r>
              <w:rPr>
                <w:sz w:val="18"/>
              </w:rPr>
              <w:t>Escalations</w:t>
            </w:r>
          </w:p>
        </w:tc>
        <w:tc>
          <w:tcPr>
            <w:tcW w:type="dxa" w:w="5216"/>
          </w:tcPr>
          <w:p>
            <w:pPr>
              <w:spacing w:after="40" w:before="40"/>
            </w:pPr>
            <w:r>
              <w:rPr>
                <w:sz w:val="18"/>
              </w:rPr>
              <w:t>Fixed 3.5%/yr now standard on new long-term leases (down from 4% in 2021–22)</w:t>
            </w:r>
          </w:p>
        </w:tc>
        <w:tc>
          <w:tcPr>
            <w:tcW w:type="dxa" w:w="2268"/>
          </w:tcPr>
          <w:p>
            <w:pPr>
              <w:spacing w:after="40" w:before="40"/>
            </w:pPr>
            <w:r>
              <w:rPr>
                <w:sz w:val="18"/>
              </w:rPr>
              <w:t>HAR.com / Place Realty Partners 2026</w:t>
            </w:r>
          </w:p>
        </w:tc>
      </w:tr>
      <w:tr>
        <w:tc>
          <w:tcPr>
            <w:tcW w:type="dxa" w:w="2154"/>
          </w:tcPr>
          <w:p>
            <w:pPr>
              <w:spacing w:after="40" w:before="40"/>
            </w:pPr>
            <w:r>
              <w:rPr>
                <w:sz w:val="18"/>
              </w:rPr>
              <w:t>Market context</w:t>
            </w:r>
          </w:p>
        </w:tc>
        <w:tc>
          <w:tcPr>
            <w:tcW w:type="dxa" w:w="5216"/>
          </w:tcPr>
          <w:p>
            <w:pPr>
              <w:spacing w:after="40" w:before="40"/>
            </w:pPr>
            <w:r>
              <w:rPr>
                <w:sz w:val="18"/>
              </w:rPr>
              <w:t>Rents ~27% above 5 years ago, +40% vs 10 years ago; oil &amp; gas employment +3.2% YoY (40,900 jobs, Jul 2025) — energy-sector demand tailwind for an oil &amp; gas occupier</w:t>
            </w:r>
          </w:p>
        </w:tc>
        <w:tc>
          <w:tcPr>
            <w:tcW w:type="dxa" w:w="2268"/>
          </w:tcPr>
          <w:p>
            <w:pPr>
              <w:spacing w:after="40" w:before="40"/>
            </w:pPr>
            <w:r>
              <w:rPr>
                <w:sz w:val="18"/>
              </w:rPr>
              <w:t>HAR.com 2026; Partners Q3 2025</w:t>
            </w:r>
          </w:p>
        </w:tc>
      </w:tr>
    </w:tbl>
    <w:p>
      <w:pPr>
        <w:pStyle w:val="SourceNote"/>
      </w:pPr>
      <w:r>
        <w:t>Source: HAR.com / Place Realty Partners 'Houston Industrial Real Estate Market 2026' (har.com/blog_144855); TI benchmarks from Tyler Cauble CRE and APERS practitioner guides (general, not Houston-specific). Lab-grade build-outs (exhaust, 3-phase power, plumbing, ventilation) routinely exceed standard industrial allowances and are typically amortized into rent or paid by tenant above allowance.</w:t>
      </w:r>
    </w:p>
    <w:p>
      <w:pPr>
        <w:pStyle w:val="Heading2"/>
      </w:pPr>
      <w:r>
        <w:t>What this means for this requirement</w:t>
      </w:r>
    </w:p>
    <w:p>
      <w:pPr>
        <w:pStyle w:val="ListBullet"/>
      </w:pPr>
      <w:r>
        <w:t>Budget is not the constraint: $10–15k/mo on 2,000 SF = $60–90/SF/yr gross vs $9–15/SF/yr corridor small-bay industrial/flex asking — roughly 4–7x market.</w:t>
      </w:r>
    </w:p>
    <w:p>
      <w:pPr>
        <w:pStyle w:val="ListBullet"/>
      </w:pPr>
      <w:r>
        <w:t>Concessions are real but skewed to big-box: 4–6 months free rent and $6–12/SF TI are bulk-distribution terms; small-bay/flex is the tight segment, so expect thinner free rent and win instead on speed, credit, and term.</w:t>
      </w:r>
    </w:p>
    <w:p>
      <w:pPr>
        <w:pStyle w:val="ListBullet"/>
      </w:pPr>
      <w:r>
        <w:t>Energy Corridor industrial inventory is thin — LoopNet shows only 3 industrial listings in the submarket (avg $11/SF/yr, avg 5,068 SF) — so this requirement realistically draws on the Park Row / Park 10 cluster and West Houston proxies.</w:t>
      </w:r>
    </w:p>
    <w:p>
      <w:pPr>
        <w:pStyle w:val="ListBullet"/>
      </w:pPr>
      <w:r>
        <w:t>No purpose-built lab inventory exists in Energy Corridor / West Houston; Houston life-science product ($47.53/SF/yr NNN) is TMC-anchored, ~15 mi east. Lab demand here is served by flex/R&amp;D industrial space with tenant lab fit-out — or office-to-lab conversion in the Energy Corridor office glut (27.7% metro office vacancy, Class A asking $60.26/SF in Katy Freeway East, Q1 2026 — landlord motivation to fund conversion TI).</w:t>
      </w:r>
    </w:p>
    <w:p>
      <w:pPr>
        <w:pStyle w:val="ListBullet"/>
      </w:pPr>
      <w:r>
        <w:t>Standard industrial power for light industrial/flex is 200–400A, 3-phase (208/240V or 480V); lab equipment plus HVAC typically needs 400A+ three-phase, and a 200A single-phase building would require a $10K–30K+ service upgrade. Confirmed heavy-power inventory is scarce — 2 of 12 candidates.</w:t>
      </w:r>
    </w:p>
    <w:p>
      <w:pPr>
        <w:pStyle w:val="ListBullet"/>
      </w:pPr>
      <w:r>
        <w:t>Under construction: 27.1M SF metro-wide (Q2 2026), spec-heavy and concentrated in big-box suburban/port submarkets — not small-bay, not Energy Corridor. Small-bay construction is scarce.</w:t>
      </w:r>
    </w:p>
    <w:p>
      <w:pPr>
        <w:pStyle w:val="SourceNote"/>
      </w:pPr>
      <w:r>
        <w:t>Sources: Greater Houston Partnership Q2 2026; Partners Q2 2026; WareCRE Q1 2026 (including industrial power-specs guide); Colliers Q2 2026; HAR.com 2026; Transwestern; Coy Davidson Q1 2026; LoopNet search pages (Oct 2026). Full URL list in Section 7.</w:t>
      </w:r>
    </w:p>
    <w:p>
      <w:r>
        <w:br w:type="page"/>
      </w:r>
    </w:p>
    <w:p>
      <w:pPr>
        <w:pStyle w:val="Heading1"/>
      </w:pPr>
      <w:r>
        <w:t>4. Candidate Properties</w:t>
      </w:r>
    </w:p>
    <w:p>
      <w:r>
        <w:t>Twelve active listings are profiled below in fit-score order (descending; ties by listing ID). For each property, specifications are reproduced from the listing sources; CONFIRMED marks data the source explicitly publishes, and unknown / to-be-confirmed marks data the source does not publish. Fit scores are the research team's composite of requirement fit — they are not a substitute for broker qualification. Rates shown as 'quoted upon request' require a direct broker call before any LOI.</w:t>
      </w:r>
    </w:p>
    <w:p>
      <w:pPr>
        <w:pStyle w:val="Heading2"/>
      </w:pPr>
      <w:r>
        <w:t>L01 · Technipark Ten — 16155 Park Row, Suite 190  (Fit score 5/5)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16155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Row (West Houston, I-10 between Beltway 8 and Grand Pkwy)</w:t>
            </w:r>
          </w:p>
        </w:tc>
      </w:tr>
      <w:tr>
        <w:tc>
          <w:tcPr>
            <w:tcW w:type="dxa" w:w="2268"/>
          </w:tcPr>
          <w:p>
            <w:pPr>
              <w:spacing w:after="40" w:before="40"/>
            </w:pPr>
            <w:r>
              <w:rPr>
                <w:sz w:val="20"/>
              </w:rPr>
              <w:t>Available SF</w:t>
            </w:r>
          </w:p>
        </w:tc>
        <w:tc>
          <w:tcPr>
            <w:tcW w:type="dxa" w:w="7370"/>
          </w:tcPr>
          <w:p>
            <w:pPr>
              <w:spacing w:after="40" w:before="40"/>
            </w:pPr>
            <w:r>
              <w:rPr>
                <w:sz w:val="20"/>
              </w:rPr>
              <w:t>5,348 (KNOWN — oversized vs the 2,000 SF target)</w:t>
            </w:r>
          </w:p>
        </w:tc>
      </w:tr>
      <w:tr>
        <w:tc>
          <w:tcPr>
            <w:tcW w:type="dxa" w:w="2268"/>
          </w:tcPr>
          <w:p>
            <w:pPr>
              <w:spacing w:after="40" w:before="40"/>
            </w:pPr>
            <w:r>
              <w:rPr>
                <w:sz w:val="20"/>
              </w:rPr>
              <w:t>Asking rent</w:t>
            </w:r>
          </w:p>
        </w:tc>
        <w:tc>
          <w:tcPr>
            <w:tcW w:type="dxa" w:w="7370"/>
          </w:tcPr>
          <w:p>
            <w:pPr>
              <w:spacing w:after="40" w:before="40"/>
            </w:pPr>
            <w:r>
              <w:rPr>
                <w:sz w:val="20"/>
              </w:rPr>
              <w:t>Quoted upon request (not published)</w:t>
            </w:r>
          </w:p>
        </w:tc>
      </w:tr>
      <w:tr>
        <w:tc>
          <w:tcPr>
            <w:tcW w:type="dxa" w:w="2268"/>
          </w:tcPr>
          <w:p>
            <w:pPr>
              <w:spacing w:after="40" w:before="40"/>
            </w:pPr>
            <w:r>
              <w:rPr>
                <w:sz w:val="20"/>
              </w:rPr>
              <w:t>Lease type</w:t>
            </w:r>
          </w:p>
        </w:tc>
        <w:tc>
          <w:tcPr>
            <w:tcW w:type="dxa" w:w="7370"/>
          </w:tcPr>
          <w:p>
            <w:pPr>
              <w:spacing w:after="40" w:before="40"/>
            </w:pPr>
            <w:r>
              <w:rPr>
                <w:sz w:val="20"/>
              </w:rPr>
              <w:t>Unknown (service type TBD on listing)</w:t>
            </w:r>
          </w:p>
        </w:tc>
      </w:tr>
      <w:tr>
        <w:tc>
          <w:tcPr>
            <w:tcW w:type="dxa" w:w="2268"/>
          </w:tcPr>
          <w:p>
            <w:pPr>
              <w:spacing w:after="40" w:before="40"/>
            </w:pPr>
            <w:r>
              <w:rPr>
                <w:sz w:val="20"/>
              </w:rPr>
              <w:t>Availability</w:t>
            </w:r>
          </w:p>
        </w:tc>
        <w:tc>
          <w:tcPr>
            <w:tcW w:type="dxa" w:w="7370"/>
          </w:tcPr>
          <w:p>
            <w:pPr>
              <w:spacing w:after="40" w:before="40"/>
            </w:pPr>
            <w:r>
              <w:rPr>
                <w:sz w:val="20"/>
              </w:rPr>
              <w:t>~30 days from listing (CityFeet listing dated Oct 2026) — PARTIAL vs immediate requirement</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Power</w:t>
            </w:r>
          </w:p>
        </w:tc>
        <w:tc>
          <w:tcPr>
            <w:tcW w:type="dxa" w:w="7370"/>
          </w:tcPr>
          <w:p>
            <w:pPr>
              <w:spacing w:after="40" w:before="40"/>
            </w:pPr>
            <w:r>
              <w:rPr>
                <w:sz w:val="20"/>
              </w:rPr>
              <w:t>CONFIRMED HEAVY POWER — two 800-amp service disconnects plus the original 200-amp disconnect; effectively an 1,800-amp service (CityFeet listing detail)</w:t>
            </w:r>
          </w:p>
        </w:tc>
      </w:tr>
      <w:tr>
        <w:tc>
          <w:tcPr>
            <w:tcW w:type="dxa" w:w="2268"/>
          </w:tcPr>
          <w:p>
            <w:pPr>
              <w:spacing w:after="40" w:before="40"/>
            </w:pPr>
            <w:r>
              <w:rPr>
                <w:sz w:val="20"/>
              </w:rPr>
              <w:t>HVAC</w:t>
            </w:r>
          </w:p>
        </w:tc>
        <w:tc>
          <w:tcPr>
            <w:tcW w:type="dxa" w:w="7370"/>
          </w:tcPr>
          <w:p>
            <w:pPr>
              <w:spacing w:after="40" w:before="40"/>
            </w:pPr>
            <w:r>
              <w:rPr>
                <w:sz w:val="20"/>
              </w:rPr>
              <w:t>Unknown at suite level; park is multi-tenant flex built 1984</w:t>
            </w:r>
          </w:p>
        </w:tc>
      </w:tr>
      <w:tr>
        <w:tc>
          <w:tcPr>
            <w:tcW w:type="dxa" w:w="2268"/>
          </w:tcPr>
          <w:p>
            <w:pPr>
              <w:spacing w:after="40" w:before="40"/>
            </w:pPr>
            <w:r>
              <w:rPr>
                <w:sz w:val="20"/>
              </w:rPr>
              <w:t>Loading</w:t>
            </w:r>
          </w:p>
        </w:tc>
        <w:tc>
          <w:tcPr>
            <w:tcW w:type="dxa" w:w="7370"/>
          </w:tcPr>
          <w:p>
            <w:pPr>
              <w:spacing w:after="40" w:before="40"/>
            </w:pPr>
            <w:r>
              <w:rPr>
                <w:sz w:val="20"/>
              </w:rPr>
              <w:t>PARTIAL — separate loading areas at park level per marketing; suite dock specifics unknown</w:t>
            </w:r>
          </w:p>
        </w:tc>
      </w:tr>
      <w:tr>
        <w:tc>
          <w:tcPr>
            <w:tcW w:type="dxa" w:w="2268"/>
          </w:tcPr>
          <w:p>
            <w:pPr>
              <w:spacing w:after="40" w:before="40"/>
            </w:pPr>
            <w:r>
              <w:rPr>
                <w:sz w:val="20"/>
              </w:rPr>
              <w:t>Parking</w:t>
            </w:r>
          </w:p>
        </w:tc>
        <w:tc>
          <w:tcPr>
            <w:tcW w:type="dxa" w:w="7370"/>
          </w:tcPr>
          <w:p>
            <w:pPr>
              <w:spacing w:after="40" w:before="40"/>
            </w:pPr>
            <w:r>
              <w:rPr>
                <w:sz w:val="20"/>
              </w:rPr>
              <w:t>Unknown (park provides separate parking areas; ratio not published)</w:t>
            </w:r>
          </w:p>
        </w:tc>
      </w:tr>
      <w:tr>
        <w:tc>
          <w:tcPr>
            <w:tcW w:type="dxa" w:w="2268"/>
          </w:tcPr>
          <w:p>
            <w:pPr>
              <w:spacing w:after="40" w:before="40"/>
            </w:pPr>
            <w:r>
              <w:rPr>
                <w:sz w:val="20"/>
              </w:rPr>
              <w:t>Expansion / ROFR</w:t>
            </w:r>
          </w:p>
        </w:tc>
        <w:tc>
          <w:tcPr>
            <w:tcW w:type="dxa" w:w="7370"/>
          </w:tcPr>
          <w:p>
            <w:pPr>
              <w:spacing w:after="40" w:before="40"/>
            </w:pPr>
            <w:r>
              <w:rPr>
                <w:sz w:val="20"/>
              </w:rPr>
              <w:t>PARTIAL — sibling suite Ste 150 (2,665 SF) available now in the same building; larger Technipark Ten availabilities adjacent at 16115 Park Row; ROFR not confirmed</w:t>
            </w:r>
          </w:p>
        </w:tc>
      </w:tr>
      <w:tr>
        <w:tc>
          <w:tcPr>
            <w:tcW w:type="dxa" w:w="2268"/>
          </w:tcPr>
          <w:p>
            <w:pPr>
              <w:spacing w:after="40" w:before="40"/>
            </w:pPr>
            <w:r>
              <w:rPr>
                <w:sz w:val="20"/>
              </w:rPr>
              <w:t>Fit score</w:t>
            </w:r>
          </w:p>
        </w:tc>
        <w:tc>
          <w:tcPr>
            <w:tcW w:type="dxa" w:w="7370"/>
          </w:tcPr>
          <w:p>
            <w:pPr>
              <w:spacing w:after="40" w:before="40"/>
            </w:pPr>
            <w:r>
              <w:rPr>
                <w:sz w:val="20"/>
              </w:rPr>
              <w:t>5 of 5</w:t>
            </w:r>
          </w:p>
        </w:tc>
      </w:tr>
      <w:tr>
        <w:tc>
          <w:tcPr>
            <w:tcW w:type="dxa" w:w="2268"/>
          </w:tcPr>
          <w:p>
            <w:pPr>
              <w:spacing w:after="40" w:before="40"/>
            </w:pPr>
            <w:r>
              <w:rPr>
                <w:sz w:val="20"/>
              </w:rPr>
              <w:t>Listing broker</w:t>
            </w:r>
          </w:p>
        </w:tc>
        <w:tc>
          <w:tcPr>
            <w:tcW w:type="dxa" w:w="7370"/>
          </w:tcPr>
          <w:p>
            <w:pPr>
              <w:spacing w:after="40" w:before="40"/>
            </w:pPr>
            <w:r>
              <w:rPr>
                <w:sz w:val="20"/>
              </w:rPr>
              <w:t>Doug Pack, Colliers — 713-818-5782</w:t>
            </w:r>
          </w:p>
        </w:tc>
      </w:tr>
      <w:tr>
        <w:tc>
          <w:tcPr>
            <w:tcW w:type="dxa" w:w="2268"/>
          </w:tcPr>
          <w:p>
            <w:pPr>
              <w:spacing w:after="40" w:before="40"/>
            </w:pPr>
            <w:r>
              <w:rPr>
                <w:sz w:val="20"/>
              </w:rPr>
              <w:t>Listing status</w:t>
            </w:r>
          </w:p>
        </w:tc>
        <w:tc>
          <w:tcPr>
            <w:tcW w:type="dxa" w:w="7370"/>
          </w:tcPr>
          <w:p>
            <w:pPr>
              <w:spacing w:after="40" w:before="40"/>
            </w:pPr>
            <w:r>
              <w:rPr>
                <w:sz w:val="20"/>
              </w:rPr>
              <w:t>Active (CityFeet + Colliers syndication, Oct 2026)</w:t>
            </w:r>
          </w:p>
        </w:tc>
      </w:tr>
    </w:tbl>
    <w:p>
      <w:r>
        <w:rPr>
          <w:b/>
        </w:rPr>
        <w:t xml:space="preserve">Assessment. </w:t>
      </w:r>
      <w:r>
        <w:t>The only candidate in the Energy Corridor flex cluster with confirmed heavy power — an effective 1,800-amp service — which is the single hardest requirement to retrofit after lease-up. Location and ~30-day availability support the client's immediate-occupancy timeline, and the adjacent Ste 150 (2,665 SF) plus larger availabilities at 16115 Park Row create a credible expansion path. Two gaps drive the next step: at 5,348 SF the suite is 2.5x the 2,000 SF target — at Energy Corridor industrial averages (~$11/SF/yr NNN) that size would base-rent near $4,900/month before operating costs, illustrative only since this suite's rate is unpublished — and suite-level HVAC/exhaust is unconfirmed. The power question is solved here; the lab-HVAC question is not. A qualification call to Doug Pack must cover rate, exhaust/make-up-air modifiability, generator status, and the Ste 150 expansion option.</w:t>
      </w:r>
    </w:p>
    <w:p>
      <w:pPr>
        <w:pStyle w:val="Heading2"/>
      </w:pPr>
      <w:r>
        <w:t>L02 · Technipark Ten — 16115 Park Row (lab components)  (Fit score 5/5)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16115 &amp; 16155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Row</w:t>
            </w:r>
          </w:p>
        </w:tc>
      </w:tr>
      <w:tr>
        <w:tc>
          <w:tcPr>
            <w:tcW w:type="dxa" w:w="2268"/>
          </w:tcPr>
          <w:p>
            <w:pPr>
              <w:spacing w:after="40" w:before="40"/>
            </w:pPr>
            <w:r>
              <w:rPr>
                <w:sz w:val="20"/>
              </w:rPr>
              <w:t>Available SF</w:t>
            </w:r>
          </w:p>
        </w:tc>
        <w:tc>
          <w:tcPr>
            <w:tcW w:type="dxa" w:w="7370"/>
          </w:tcPr>
          <w:p>
            <w:pPr>
              <w:spacing w:after="40" w:before="40"/>
            </w:pPr>
            <w:r>
              <w:rPr>
                <w:sz w:val="20"/>
              </w:rPr>
              <w:t>5,200–33,946 per LoopNet listing; Colliers current flyer shows 2,665–8,013 SF; LargeWarehouseSpace shows 13,864 SF divisible to 2,665–8,516 SF</w:t>
            </w:r>
          </w:p>
        </w:tc>
      </w:tr>
      <w:tr>
        <w:tc>
          <w:tcPr>
            <w:tcW w:type="dxa" w:w="2268"/>
          </w:tcPr>
          <w:p>
            <w:pPr>
              <w:spacing w:after="40" w:before="40"/>
            </w:pPr>
            <w:r>
              <w:rPr>
                <w:sz w:val="20"/>
              </w:rPr>
              <w:t>Asking rent</w:t>
            </w:r>
          </w:p>
        </w:tc>
        <w:tc>
          <w:tcPr>
            <w:tcW w:type="dxa" w:w="7370"/>
          </w:tcPr>
          <w:p>
            <w:pPr>
              <w:spacing w:after="40" w:before="40"/>
            </w:pPr>
            <w:r>
              <w:rPr>
                <w:sz w:val="20"/>
              </w:rPr>
              <w:t>Quoted upon request — contact for pricing (Colliers)</w:t>
            </w:r>
          </w:p>
        </w:tc>
      </w:tr>
      <w:tr>
        <w:tc>
          <w:tcPr>
            <w:tcW w:type="dxa" w:w="2268"/>
          </w:tcPr>
          <w:p>
            <w:pPr>
              <w:spacing w:after="40" w:before="40"/>
            </w:pPr>
            <w:r>
              <w:rPr>
                <w:sz w:val="20"/>
              </w:rPr>
              <w:t>Availability</w:t>
            </w:r>
          </w:p>
        </w:tc>
        <w:tc>
          <w:tcPr>
            <w:tcW w:type="dxa" w:w="7370"/>
          </w:tcPr>
          <w:p>
            <w:pPr>
              <w:spacing w:after="40" w:before="40"/>
            </w:pPr>
            <w:r>
              <w:rPr>
                <w:sz w:val="20"/>
              </w:rPr>
              <w:t>PARTIAL — immediate for the 13,864 SF divisible warehouse/distribution block (LargeWarehouseSpace, updated Feb 19, 2026); specific lab-suite dates unknown</w:t>
            </w:r>
          </w:p>
        </w:tc>
      </w:tr>
      <w:tr>
        <w:tc>
          <w:tcPr>
            <w:tcW w:type="dxa" w:w="2268"/>
          </w:tcPr>
          <w:p>
            <w:pPr>
              <w:spacing w:after="40" w:before="40"/>
            </w:pPr>
            <w:r>
              <w:rPr>
                <w:sz w:val="20"/>
              </w:rPr>
              <w:t>Term offered</w:t>
            </w:r>
          </w:p>
        </w:tc>
        <w:tc>
          <w:tcPr>
            <w:tcW w:type="dxa" w:w="7370"/>
          </w:tcPr>
          <w:p>
            <w:pPr>
              <w:spacing w:after="40" w:before="40"/>
            </w:pPr>
            <w:r>
              <w:rPr>
                <w:sz w:val="20"/>
              </w:rPr>
              <w:t>Unknown</w:t>
            </w:r>
          </w:p>
        </w:tc>
      </w:tr>
      <w:tr>
        <w:tc>
          <w:tcPr>
            <w:tcW w:type="dxa" w:w="2268"/>
          </w:tcPr>
          <w:p>
            <w:pPr>
              <w:spacing w:after="40" w:before="40"/>
            </w:pPr>
            <w:r>
              <w:rPr>
                <w:sz w:val="20"/>
              </w:rPr>
              <w:t>Lab components</w:t>
            </w:r>
          </w:p>
        </w:tc>
        <w:tc>
          <w:tcPr>
            <w:tcW w:type="dxa" w:w="7370"/>
          </w:tcPr>
          <w:p>
            <w:pPr>
              <w:spacing w:after="40" w:before="40"/>
            </w:pPr>
            <w:r>
              <w:rPr>
                <w:sz w:val="20"/>
              </w:rPr>
              <w:t>CONFIRMED per LoopNet listing text — office-warehouse, dry-lab, wet-lab, chemical storage H-2 room, and negative-pressure test room with evacuation fume capability</w:t>
            </w:r>
          </w:p>
        </w:tc>
      </w:tr>
      <w:tr>
        <w:tc>
          <w:tcPr>
            <w:tcW w:type="dxa" w:w="2268"/>
          </w:tcPr>
          <w:p>
            <w:pPr>
              <w:spacing w:after="40" w:before="40"/>
            </w:pPr>
            <w:r>
              <w:rPr>
                <w:sz w:val="20"/>
              </w:rPr>
              <w:t>Power</w:t>
            </w:r>
          </w:p>
        </w:tc>
        <w:tc>
          <w:tcPr>
            <w:tcW w:type="dxa" w:w="7370"/>
          </w:tcPr>
          <w:p>
            <w:pPr>
              <w:spacing w:after="40" w:before="40"/>
            </w:pPr>
            <w:r>
              <w:rPr>
                <w:sz w:val="20"/>
              </w:rPr>
              <w:t>Unknown at suite level</w:t>
            </w:r>
          </w:p>
        </w:tc>
      </w:tr>
      <w:tr>
        <w:tc>
          <w:tcPr>
            <w:tcW w:type="dxa" w:w="2268"/>
          </w:tcPr>
          <w:p>
            <w:pPr>
              <w:spacing w:after="40" w:before="40"/>
            </w:pPr>
            <w:r>
              <w:rPr>
                <w:sz w:val="20"/>
              </w:rPr>
              <w:t>HVAC</w:t>
            </w:r>
          </w:p>
        </w:tc>
        <w:tc>
          <w:tcPr>
            <w:tcW w:type="dxa" w:w="7370"/>
          </w:tcPr>
          <w:p>
            <w:pPr>
              <w:spacing w:after="40" w:before="40"/>
            </w:pPr>
            <w:r>
              <w:rPr>
                <w:sz w:val="20"/>
              </w:rPr>
              <w:t>PARTIAL — LargeWarehouseSpace notes 'HVAC: None' for the 13,864 SF warehouse block; lab suites may differ — verify</w:t>
            </w:r>
          </w:p>
        </w:tc>
      </w:tr>
      <w:tr>
        <w:tc>
          <w:tcPr>
            <w:tcW w:type="dxa" w:w="2268"/>
          </w:tcPr>
          <w:p>
            <w:pPr>
              <w:spacing w:after="40" w:before="40"/>
            </w:pPr>
            <w:r>
              <w:rPr>
                <w:sz w:val="20"/>
              </w:rPr>
              <w:t>Loading</w:t>
            </w:r>
          </w:p>
        </w:tc>
        <w:tc>
          <w:tcPr>
            <w:tcW w:type="dxa" w:w="7370"/>
          </w:tcPr>
          <w:p>
            <w:pPr>
              <w:spacing w:after="40" w:before="40"/>
            </w:pPr>
            <w:r>
              <w:rPr>
                <w:sz w:val="20"/>
              </w:rPr>
              <w:t>PARTIAL — multi-tenant flex buildings with separate loading areas; dock count unknown</w:t>
            </w:r>
          </w:p>
        </w:tc>
      </w:tr>
      <w:tr>
        <w:tc>
          <w:tcPr>
            <w:tcW w:type="dxa" w:w="2268"/>
          </w:tcPr>
          <w:p>
            <w:pPr>
              <w:spacing w:after="40" w:before="40"/>
            </w:pPr>
            <w:r>
              <w:rPr>
                <w:sz w:val="20"/>
              </w:rPr>
              <w:t>Parking</w:t>
            </w:r>
          </w:p>
        </w:tc>
        <w:tc>
          <w:tcPr>
            <w:tcW w:type="dxa" w:w="7370"/>
          </w:tcPr>
          <w:p>
            <w:pPr>
              <w:spacing w:after="40" w:before="40"/>
            </w:pPr>
            <w:r>
              <w:rPr>
                <w:sz w:val="20"/>
              </w:rPr>
              <w:t>Unknown</w:t>
            </w:r>
          </w:p>
        </w:tc>
      </w:tr>
      <w:tr>
        <w:tc>
          <w:tcPr>
            <w:tcW w:type="dxa" w:w="2268"/>
          </w:tcPr>
          <w:p>
            <w:pPr>
              <w:spacing w:after="40" w:before="40"/>
            </w:pPr>
            <w:r>
              <w:rPr>
                <w:sz w:val="20"/>
              </w:rPr>
              <w:t>Expansion / ROFR</w:t>
            </w:r>
          </w:p>
        </w:tc>
        <w:tc>
          <w:tcPr>
            <w:tcW w:type="dxa" w:w="7370"/>
          </w:tcPr>
          <w:p>
            <w:pPr>
              <w:spacing w:after="40" w:before="40"/>
            </w:pPr>
            <w:r>
              <w:rPr>
                <w:sz w:val="20"/>
              </w:rPr>
              <w:t>PARTIAL — divisible 2,665–8,516 SF blocks plus larger contiguous availability; ROFR unknown</w:t>
            </w:r>
          </w:p>
        </w:tc>
      </w:tr>
      <w:tr>
        <w:tc>
          <w:tcPr>
            <w:tcW w:type="dxa" w:w="2268"/>
          </w:tcPr>
          <w:p>
            <w:pPr>
              <w:spacing w:after="40" w:before="40"/>
            </w:pPr>
            <w:r>
              <w:rPr>
                <w:sz w:val="20"/>
              </w:rPr>
              <w:t>Fit score</w:t>
            </w:r>
          </w:p>
        </w:tc>
        <w:tc>
          <w:tcPr>
            <w:tcW w:type="dxa" w:w="7370"/>
          </w:tcPr>
          <w:p>
            <w:pPr>
              <w:spacing w:after="40" w:before="40"/>
            </w:pPr>
            <w:r>
              <w:rPr>
                <w:sz w:val="20"/>
              </w:rPr>
              <w:t>5 of 5</w:t>
            </w:r>
          </w:p>
        </w:tc>
      </w:tr>
      <w:tr>
        <w:tc>
          <w:tcPr>
            <w:tcW w:type="dxa" w:w="2268"/>
          </w:tcPr>
          <w:p>
            <w:pPr>
              <w:spacing w:after="40" w:before="40"/>
            </w:pPr>
            <w:r>
              <w:rPr>
                <w:sz w:val="20"/>
              </w:rPr>
              <w:t>Listing broker</w:t>
            </w:r>
          </w:p>
        </w:tc>
        <w:tc>
          <w:tcPr>
            <w:tcW w:type="dxa" w:w="7370"/>
          </w:tcPr>
          <w:p>
            <w:pPr>
              <w:spacing w:after="40" w:before="40"/>
            </w:pPr>
            <w:r>
              <w:rPr>
                <w:sz w:val="20"/>
              </w:rPr>
              <w:t>Doug Pack, Colliers — 713-818-5782</w:t>
            </w:r>
          </w:p>
        </w:tc>
      </w:tr>
      <w:tr>
        <w:tc>
          <w:tcPr>
            <w:tcW w:type="dxa" w:w="2268"/>
          </w:tcPr>
          <w:p>
            <w:pPr>
              <w:spacing w:after="40" w:before="40"/>
            </w:pPr>
            <w:r>
              <w:rPr>
                <w:sz w:val="20"/>
              </w:rPr>
              <w:t>Listing status</w:t>
            </w:r>
          </w:p>
        </w:tc>
        <w:tc>
          <w:tcPr>
            <w:tcW w:type="dxa" w:w="7370"/>
          </w:tcPr>
          <w:p>
            <w:pPr>
              <w:spacing w:after="40" w:before="40"/>
            </w:pPr>
            <w:r>
              <w:rPr>
                <w:sz w:val="20"/>
              </w:rPr>
              <w:t>Active (Colliers, LargeWarehouseSpace; LoopNet page indexed)</w:t>
            </w:r>
          </w:p>
        </w:tc>
      </w:tr>
    </w:tbl>
    <w:p>
      <w:r>
        <w:rPr>
          <w:b/>
        </w:rPr>
        <w:t xml:space="preserve">Assessment. </w:t>
      </w:r>
      <w:r>
        <w:t>The strongest lab-specific match in the search — the LoopNet listing enumerates dry-lab and wet-lab rooms, a chemical storage H-2 room, and a negative-pressure test room with evacuation fume capability: infrastructure that would otherwise require six-figure tenant build-out. The Park Row location is inside the 20-mile band, and divisible blocks down to ~2,665 SF can be negotiated toward the 2,000 SF target. Caveats: pricing is unpublished; the 'HVAC: None' note applies to the plain warehouse block, not necessarily the lab suites; suite-level power and generator status are unconfirmed; ROFR is not published. Pair this call with L01 — same campus, same broker — so one conversation qualifies both.</w:t>
      </w:r>
    </w:p>
    <w:p>
      <w:pPr>
        <w:pStyle w:val="Heading2"/>
      </w:pPr>
      <w:r>
        <w:t>L03 · Techniplex Business Center — 16203 Park Row, Suite 100 (lab)  (Fit score 4/5)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16203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Techniplex Business Center</w:t>
            </w:r>
          </w:p>
        </w:tc>
      </w:tr>
      <w:tr>
        <w:tc>
          <w:tcPr>
            <w:tcW w:type="dxa" w:w="2268"/>
          </w:tcPr>
          <w:p>
            <w:pPr>
              <w:spacing w:after="40" w:before="40"/>
            </w:pPr>
            <w:r>
              <w:rPr>
                <w:sz w:val="20"/>
              </w:rPr>
              <w:t>Available SF</w:t>
            </w:r>
          </w:p>
        </w:tc>
        <w:tc>
          <w:tcPr>
            <w:tcW w:type="dxa" w:w="7370"/>
          </w:tcPr>
          <w:p>
            <w:pPr>
              <w:spacing w:after="40" w:before="40"/>
            </w:pPr>
            <w:r>
              <w:rPr>
                <w:sz w:val="20"/>
              </w:rPr>
              <w:t>6,378 — Suite 100 listed as 3,278 SF office / 3,100 SF lab / 100% AC (CityFeet)</w:t>
            </w:r>
          </w:p>
        </w:tc>
      </w:tr>
      <w:tr>
        <w:tc>
          <w:tcPr>
            <w:tcW w:type="dxa" w:w="2268"/>
          </w:tcPr>
          <w:p>
            <w:pPr>
              <w:spacing w:after="40" w:before="40"/>
            </w:pPr>
            <w:r>
              <w:rPr>
                <w:sz w:val="20"/>
              </w:rPr>
              <w:t>Asking rent</w:t>
            </w:r>
          </w:p>
        </w:tc>
        <w:tc>
          <w:tcPr>
            <w:tcW w:type="dxa" w:w="7370"/>
          </w:tcPr>
          <w:p>
            <w:pPr>
              <w:spacing w:after="40" w:before="40"/>
            </w:pPr>
            <w:r>
              <w:rPr>
                <w:sz w:val="20"/>
              </w:rPr>
              <w:t>Quoted upon request — request info (Showcase/CityFeet)</w:t>
            </w:r>
          </w:p>
        </w:tc>
      </w:tr>
      <w:tr>
        <w:tc>
          <w:tcPr>
            <w:tcW w:type="dxa" w:w="2268"/>
          </w:tcPr>
          <w:p>
            <w:pPr>
              <w:spacing w:after="40" w:before="40"/>
            </w:pPr>
            <w:r>
              <w:rPr>
                <w:sz w:val="20"/>
              </w:rPr>
              <w:t>Lease type</w:t>
            </w:r>
          </w:p>
        </w:tc>
        <w:tc>
          <w:tcPr>
            <w:tcW w:type="dxa" w:w="7370"/>
          </w:tcPr>
          <w:p>
            <w:pPr>
              <w:spacing w:after="40" w:before="40"/>
            </w:pPr>
            <w:r>
              <w:rPr>
                <w:sz w:val="20"/>
              </w:rPr>
              <w:t>TBD</w:t>
            </w:r>
          </w:p>
        </w:tc>
      </w:tr>
      <w:tr>
        <w:tc>
          <w:tcPr>
            <w:tcW w:type="dxa" w:w="2268"/>
          </w:tcPr>
          <w:p>
            <w:pPr>
              <w:spacing w:after="40" w:before="40"/>
            </w:pPr>
            <w:r>
              <w:rPr>
                <w:sz w:val="20"/>
              </w:rPr>
              <w:t>Availability</w:t>
            </w:r>
          </w:p>
        </w:tc>
        <w:tc>
          <w:tcPr>
            <w:tcW w:type="dxa" w:w="7370"/>
          </w:tcPr>
          <w:p>
            <w:pPr>
              <w:spacing w:after="40" w:before="40"/>
            </w:pPr>
            <w:r>
              <w:rPr>
                <w:sz w:val="20"/>
              </w:rPr>
              <w:t>CONFIRMED — now (Suite 100; sibling Ste 175 at 1,948 SF also available now)</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HVAC</w:t>
            </w:r>
          </w:p>
        </w:tc>
        <w:tc>
          <w:tcPr>
            <w:tcW w:type="dxa" w:w="7370"/>
          </w:tcPr>
          <w:p>
            <w:pPr>
              <w:spacing w:after="40" w:before="40"/>
            </w:pPr>
            <w:r>
              <w:rPr>
                <w:sz w:val="20"/>
              </w:rPr>
              <w:t>CONFIRMED — suite listed as 100% AC; zone control unconfirmed</w:t>
            </w:r>
          </w:p>
        </w:tc>
      </w:tr>
      <w:tr>
        <w:tc>
          <w:tcPr>
            <w:tcW w:type="dxa" w:w="2268"/>
          </w:tcPr>
          <w:p>
            <w:pPr>
              <w:spacing w:after="40" w:before="40"/>
            </w:pPr>
            <w:r>
              <w:rPr>
                <w:sz w:val="20"/>
              </w:rPr>
              <w:t>Power</w:t>
            </w:r>
          </w:p>
        </w:tc>
        <w:tc>
          <w:tcPr>
            <w:tcW w:type="dxa" w:w="7370"/>
          </w:tcPr>
          <w:p>
            <w:pPr>
              <w:spacing w:after="40" w:before="40"/>
            </w:pPr>
            <w:r>
              <w:rPr>
                <w:sz w:val="20"/>
              </w:rPr>
              <w:t>Unknown at suite level</w:t>
            </w:r>
          </w:p>
        </w:tc>
      </w:tr>
      <w:tr>
        <w:tc>
          <w:tcPr>
            <w:tcW w:type="dxa" w:w="2268"/>
          </w:tcPr>
          <w:p>
            <w:pPr>
              <w:spacing w:after="40" w:before="40"/>
            </w:pPr>
            <w:r>
              <w:rPr>
                <w:sz w:val="20"/>
              </w:rPr>
              <w:t>Loading</w:t>
            </w:r>
          </w:p>
        </w:tc>
        <w:tc>
          <w:tcPr>
            <w:tcW w:type="dxa" w:w="7370"/>
          </w:tcPr>
          <w:p>
            <w:pPr>
              <w:spacing w:after="40" w:before="40"/>
            </w:pPr>
            <w:r>
              <w:rPr>
                <w:sz w:val="20"/>
              </w:rPr>
              <w:t>PARTIAL — rear-load and grade-level loading at building; 8 drive-in doors, 0 docks (Showcase building data); suite specifics unknown</w:t>
            </w:r>
          </w:p>
        </w:tc>
      </w:tr>
      <w:tr>
        <w:tc>
          <w:tcPr>
            <w:tcW w:type="dxa" w:w="2268"/>
          </w:tcPr>
          <w:p>
            <w:pPr>
              <w:spacing w:after="40" w:before="40"/>
            </w:pPr>
            <w:r>
              <w:rPr>
                <w:sz w:val="20"/>
              </w:rPr>
              <w:t>Parking</w:t>
            </w:r>
          </w:p>
        </w:tc>
        <w:tc>
          <w:tcPr>
            <w:tcW w:type="dxa" w:w="7370"/>
          </w:tcPr>
          <w:p>
            <w:pPr>
              <w:spacing w:after="40" w:before="40"/>
            </w:pPr>
            <w:r>
              <w:rPr>
                <w:sz w:val="20"/>
              </w:rPr>
              <w:t>CONFIRMED — 141 surface spaces on site, included in rent (building/campus-level per CityFeet; suite-level share not published). Listing source cites ~2.2 per 1,000 SF for the full building, but building SF is not published, so the ratio is not independently verifiable</w:t>
            </w:r>
          </w:p>
        </w:tc>
      </w:tr>
      <w:tr>
        <w:tc>
          <w:tcPr>
            <w:tcW w:type="dxa" w:w="2268"/>
          </w:tcPr>
          <w:p>
            <w:pPr>
              <w:spacing w:after="40" w:before="40"/>
            </w:pPr>
            <w:r>
              <w:rPr>
                <w:sz w:val="20"/>
              </w:rPr>
              <w:t>Expansion / ROFR</w:t>
            </w:r>
          </w:p>
        </w:tc>
        <w:tc>
          <w:tcPr>
            <w:tcW w:type="dxa" w:w="7370"/>
          </w:tcPr>
          <w:p>
            <w:pPr>
              <w:spacing w:after="40" w:before="40"/>
            </w:pPr>
            <w:r>
              <w:rPr>
                <w:sz w:val="20"/>
              </w:rPr>
              <w:t>PARTIAL — sibling suites in the same building: Ste 125 (3,125 SF, Dec 2026), Ste 175 (1,948 SF, now); ROFR unknown</w:t>
            </w:r>
          </w:p>
        </w:tc>
      </w:tr>
      <w:tr>
        <w:tc>
          <w:tcPr>
            <w:tcW w:type="dxa" w:w="2268"/>
          </w:tcPr>
          <w:p>
            <w:pPr>
              <w:spacing w:after="40" w:before="40"/>
            </w:pPr>
            <w:r>
              <w:rPr>
                <w:sz w:val="20"/>
              </w:rPr>
              <w:t>Fit score</w:t>
            </w:r>
          </w:p>
        </w:tc>
        <w:tc>
          <w:tcPr>
            <w:tcW w:type="dxa" w:w="7370"/>
          </w:tcPr>
          <w:p>
            <w:pPr>
              <w:spacing w:after="40" w:before="40"/>
            </w:pPr>
            <w:r>
              <w:rPr>
                <w:sz w:val="20"/>
              </w:rPr>
              <w:t>4 of 5</w:t>
            </w:r>
          </w:p>
        </w:tc>
      </w:tr>
      <w:tr>
        <w:tc>
          <w:tcPr>
            <w:tcW w:type="dxa" w:w="2268"/>
          </w:tcPr>
          <w:p>
            <w:pPr>
              <w:spacing w:after="40" w:before="40"/>
            </w:pPr>
            <w:r>
              <w:rPr>
                <w:sz w:val="20"/>
              </w:rPr>
              <w:t>Listing broker</w:t>
            </w:r>
          </w:p>
        </w:tc>
        <w:tc>
          <w:tcPr>
            <w:tcW w:type="dxa" w:w="7370"/>
          </w:tcPr>
          <w:p>
            <w:pPr>
              <w:spacing w:after="40" w:before="40"/>
            </w:pPr>
            <w:r>
              <w:rPr>
                <w:sz w:val="20"/>
              </w:rPr>
              <w:t>Meg Zschappel, Stream Realty Partners — 888-589-8706</w:t>
            </w:r>
          </w:p>
        </w:tc>
      </w:tr>
      <w:tr>
        <w:tc>
          <w:tcPr>
            <w:tcW w:type="dxa" w:w="2268"/>
          </w:tcPr>
          <w:p>
            <w:pPr>
              <w:spacing w:after="40" w:before="40"/>
            </w:pPr>
            <w:r>
              <w:rPr>
                <w:sz w:val="20"/>
              </w:rPr>
              <w:t>Listing status</w:t>
            </w:r>
          </w:p>
        </w:tc>
        <w:tc>
          <w:tcPr>
            <w:tcW w:type="dxa" w:w="7370"/>
          </w:tcPr>
          <w:p>
            <w:pPr>
              <w:spacing w:after="40" w:before="40"/>
            </w:pPr>
            <w:r>
              <w:rPr>
                <w:sz w:val="20"/>
              </w:rPr>
              <w:t>Active (Showcase/CityFeet/LoopNet syndication, Oct 2026)</w:t>
            </w:r>
          </w:p>
        </w:tc>
      </w:tr>
    </w:tbl>
    <w:p>
      <w:r>
        <w:rPr>
          <w:b/>
        </w:rPr>
        <w:t xml:space="preserve">Assessment. </w:t>
      </w:r>
      <w:r>
        <w:t>The only candidate with lab space explicitly marked available now — 3,100 SF of lab within the 6,378 SF suite, air-conditioned per CityFeet — which best matches the client's immediate timeline. Techniplex is marketed for flex, distribution, and lab-type spaces, and the campus offers an in-building expansion path (Ste 175 at 1,948 SF is available now and nearly on target; Ste 125 at 3,125 SF follows in December 2026). Parking is confirmed at 141 spaces included in rent. Gaps: rate unpublished; suite-level power and exhaust specs unknown; no dock doors at the building (grade-level drive-in only); 12-ft clear height is low for industrial loading. The Stream Realty call should confirm rate, lab exhaust modifiability, and whether the client would take Suite 100 whole or a demised lab portion.</w:t>
      </w:r>
    </w:p>
    <w:p>
      <w:pPr>
        <w:pStyle w:val="Heading2"/>
      </w:pPr>
      <w:r>
        <w:t>L04 · Park Ten Business Park — 15720-15740 Park Row (Ste 200 / 400 / 500)  (Fit score 4/5)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15740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Ten</w:t>
            </w:r>
          </w:p>
        </w:tc>
      </w:tr>
      <w:tr>
        <w:tc>
          <w:tcPr>
            <w:tcW w:type="dxa" w:w="2268"/>
          </w:tcPr>
          <w:p>
            <w:pPr>
              <w:spacing w:after="40" w:before="40"/>
            </w:pPr>
            <w:r>
              <w:rPr>
                <w:sz w:val="20"/>
              </w:rPr>
              <w:t>Available SF</w:t>
            </w:r>
          </w:p>
        </w:tc>
        <w:tc>
          <w:tcPr>
            <w:tcW w:type="dxa" w:w="7370"/>
          </w:tcPr>
          <w:p>
            <w:pPr>
              <w:spacing w:after="40" w:before="40"/>
            </w:pPr>
            <w:r>
              <w:rPr>
                <w:sz w:val="20"/>
              </w:rPr>
              <w:t>3,000 (Ste 200); 4,800 (Ste 400); 9,584 (Ste 500); 6,004 (Ste 100, Jan 2027)</w:t>
            </w:r>
          </w:p>
        </w:tc>
      </w:tr>
      <w:tr>
        <w:tc>
          <w:tcPr>
            <w:tcW w:type="dxa" w:w="2268"/>
          </w:tcPr>
          <w:p>
            <w:pPr>
              <w:spacing w:after="40" w:before="40"/>
            </w:pPr>
            <w:r>
              <w:rPr>
                <w:sz w:val="20"/>
              </w:rPr>
              <w:t>Asking rent</w:t>
            </w:r>
          </w:p>
        </w:tc>
        <w:tc>
          <w:tcPr>
            <w:tcW w:type="dxa" w:w="7370"/>
          </w:tcPr>
          <w:p>
            <w:pPr>
              <w:spacing w:after="40" w:before="40"/>
            </w:pPr>
            <w:r>
              <w:rPr>
                <w:sz w:val="20"/>
              </w:rPr>
              <w:t>Quoted upon request</w:t>
            </w:r>
          </w:p>
        </w:tc>
      </w:tr>
      <w:tr>
        <w:tc>
          <w:tcPr>
            <w:tcW w:type="dxa" w:w="2268"/>
          </w:tcPr>
          <w:p>
            <w:pPr>
              <w:spacing w:after="40" w:before="40"/>
            </w:pPr>
            <w:r>
              <w:rPr>
                <w:sz w:val="20"/>
              </w:rPr>
              <w:t>Lease type</w:t>
            </w:r>
          </w:p>
        </w:tc>
        <w:tc>
          <w:tcPr>
            <w:tcW w:type="dxa" w:w="7370"/>
          </w:tcPr>
          <w:p>
            <w:pPr>
              <w:spacing w:after="40" w:before="40"/>
            </w:pPr>
            <w:r>
              <w:rPr>
                <w:sz w:val="20"/>
              </w:rPr>
              <w:t>Negotiable service type</w:t>
            </w:r>
          </w:p>
        </w:tc>
      </w:tr>
      <w:tr>
        <w:tc>
          <w:tcPr>
            <w:tcW w:type="dxa" w:w="2268"/>
          </w:tcPr>
          <w:p>
            <w:pPr>
              <w:spacing w:after="40" w:before="40"/>
            </w:pPr>
            <w:r>
              <w:rPr>
                <w:sz w:val="20"/>
              </w:rPr>
              <w:t>Availability</w:t>
            </w:r>
          </w:p>
        </w:tc>
        <w:tc>
          <w:tcPr>
            <w:tcW w:type="dxa" w:w="7370"/>
          </w:tcPr>
          <w:p>
            <w:pPr>
              <w:spacing w:after="40" w:before="40"/>
            </w:pPr>
            <w:r>
              <w:rPr>
                <w:sz w:val="20"/>
              </w:rPr>
              <w:t>CONFIRMED — now (Ste 200, 400, 500); Jan 2027 (Ste 100)</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Power</w:t>
            </w:r>
          </w:p>
        </w:tc>
        <w:tc>
          <w:tcPr>
            <w:tcW w:type="dxa" w:w="7370"/>
          </w:tcPr>
          <w:p>
            <w:pPr>
              <w:spacing w:after="40" w:before="40"/>
            </w:pPr>
            <w:r>
              <w:rPr>
                <w:sz w:val="20"/>
              </w:rPr>
              <w:t>CONFIRMED — 480V 3-phase power supply in each building (CityFeet description/highlights)</w:t>
            </w:r>
          </w:p>
        </w:tc>
      </w:tr>
      <w:tr>
        <w:tc>
          <w:tcPr>
            <w:tcW w:type="dxa" w:w="2268"/>
          </w:tcPr>
          <w:p>
            <w:pPr>
              <w:spacing w:after="40" w:before="40"/>
            </w:pPr>
            <w:r>
              <w:rPr>
                <w:sz w:val="20"/>
              </w:rPr>
              <w:t>HVAC</w:t>
            </w:r>
          </w:p>
        </w:tc>
        <w:tc>
          <w:tcPr>
            <w:tcW w:type="dxa" w:w="7370"/>
          </w:tcPr>
          <w:p>
            <w:pPr>
              <w:spacing w:after="40" w:before="40"/>
            </w:pPr>
            <w:r>
              <w:rPr>
                <w:sz w:val="20"/>
              </w:rPr>
              <w:t>Unknown at suite level</w:t>
            </w:r>
          </w:p>
        </w:tc>
      </w:tr>
      <w:tr>
        <w:tc>
          <w:tcPr>
            <w:tcW w:type="dxa" w:w="2268"/>
          </w:tcPr>
          <w:p>
            <w:pPr>
              <w:spacing w:after="40" w:before="40"/>
            </w:pPr>
            <w:r>
              <w:rPr>
                <w:sz w:val="20"/>
              </w:rPr>
              <w:t>Loading</w:t>
            </w:r>
          </w:p>
        </w:tc>
        <w:tc>
          <w:tcPr>
            <w:tcW w:type="dxa" w:w="7370"/>
          </w:tcPr>
          <w:p>
            <w:pPr>
              <w:spacing w:after="40" w:before="40"/>
            </w:pPr>
            <w:r>
              <w:rPr>
                <w:sz w:val="20"/>
              </w:rPr>
              <w:t>CONFIRMED — building specs: 4–16 dock doors and 1–6 drive-in doors depending on building; Ste 500 shell lists 2 dock doors + 1 drive-in</w:t>
            </w:r>
          </w:p>
        </w:tc>
      </w:tr>
      <w:tr>
        <w:tc>
          <w:tcPr>
            <w:tcW w:type="dxa" w:w="2268"/>
          </w:tcPr>
          <w:p>
            <w:pPr>
              <w:spacing w:after="40" w:before="40"/>
            </w:pPr>
            <w:r>
              <w:rPr>
                <w:sz w:val="20"/>
              </w:rPr>
              <w:t>Parking</w:t>
            </w:r>
          </w:p>
        </w:tc>
        <w:tc>
          <w:tcPr>
            <w:tcW w:type="dxa" w:w="7370"/>
          </w:tcPr>
          <w:p>
            <w:pPr>
              <w:spacing w:after="40" w:before="40"/>
            </w:pPr>
            <w:r>
              <w:rPr>
                <w:sz w:val="20"/>
              </w:rPr>
              <w:t>PARTIAL — ample parking on a 7-acre site (marketing); exact ratio unknown</w:t>
            </w:r>
          </w:p>
        </w:tc>
      </w:tr>
      <w:tr>
        <w:tc>
          <w:tcPr>
            <w:tcW w:type="dxa" w:w="2268"/>
          </w:tcPr>
          <w:p>
            <w:pPr>
              <w:spacing w:after="40" w:before="40"/>
            </w:pPr>
            <w:r>
              <w:rPr>
                <w:sz w:val="20"/>
              </w:rPr>
              <w:t>Expansion / ROFR</w:t>
            </w:r>
          </w:p>
        </w:tc>
        <w:tc>
          <w:tcPr>
            <w:tcW w:type="dxa" w:w="7370"/>
          </w:tcPr>
          <w:p>
            <w:pPr>
              <w:spacing w:after="40" w:before="40"/>
            </w:pPr>
            <w:r>
              <w:rPr>
                <w:sz w:val="20"/>
              </w:rPr>
              <w:t>PARTIAL — multiple suites available across a three-building park; ROFR unknown</w:t>
            </w:r>
          </w:p>
        </w:tc>
      </w:tr>
      <w:tr>
        <w:tc>
          <w:tcPr>
            <w:tcW w:type="dxa" w:w="2268"/>
          </w:tcPr>
          <w:p>
            <w:pPr>
              <w:spacing w:after="40" w:before="40"/>
            </w:pPr>
            <w:r>
              <w:rPr>
                <w:sz w:val="20"/>
              </w:rPr>
              <w:t>Fit score</w:t>
            </w:r>
          </w:p>
        </w:tc>
        <w:tc>
          <w:tcPr>
            <w:tcW w:type="dxa" w:w="7370"/>
          </w:tcPr>
          <w:p>
            <w:pPr>
              <w:spacing w:after="40" w:before="40"/>
            </w:pPr>
            <w:r>
              <w:rPr>
                <w:sz w:val="20"/>
              </w:rPr>
              <w:t>4 of 5</w:t>
            </w:r>
          </w:p>
        </w:tc>
      </w:tr>
      <w:tr>
        <w:tc>
          <w:tcPr>
            <w:tcW w:type="dxa" w:w="2268"/>
          </w:tcPr>
          <w:p>
            <w:pPr>
              <w:spacing w:after="40" w:before="40"/>
            </w:pPr>
            <w:r>
              <w:rPr>
                <w:sz w:val="20"/>
              </w:rPr>
              <w:t>Listing broker</w:t>
            </w:r>
          </w:p>
        </w:tc>
        <w:tc>
          <w:tcPr>
            <w:tcW w:type="dxa" w:w="7370"/>
          </w:tcPr>
          <w:p>
            <w:pPr>
              <w:spacing w:after="40" w:before="40"/>
            </w:pPr>
            <w:r>
              <w:rPr>
                <w:sz w:val="20"/>
              </w:rPr>
              <w:t>Lexie Curry, EQT Real Estate — 281-635-4548</w:t>
            </w:r>
          </w:p>
        </w:tc>
      </w:tr>
      <w:tr>
        <w:tc>
          <w:tcPr>
            <w:tcW w:type="dxa" w:w="2268"/>
          </w:tcPr>
          <w:p>
            <w:pPr>
              <w:spacing w:after="40" w:before="40"/>
            </w:pPr>
            <w:r>
              <w:rPr>
                <w:sz w:val="20"/>
              </w:rPr>
              <w:t>Listing status</w:t>
            </w:r>
          </w:p>
        </w:tc>
        <w:tc>
          <w:tcPr>
            <w:tcW w:type="dxa" w:w="7370"/>
          </w:tcPr>
          <w:p>
            <w:pPr>
              <w:spacing w:after="40" w:before="40"/>
            </w:pPr>
            <w:r>
              <w:rPr>
                <w:sz w:val="20"/>
              </w:rPr>
              <w:t>Active (CityFeet with property flyer; Showcase syndication)</w:t>
            </w:r>
          </w:p>
        </w:tc>
      </w:tr>
    </w:tbl>
    <w:p>
      <w:r>
        <w:rPr>
          <w:b/>
        </w:rPr>
        <w:t xml:space="preserve">Assessment. </w:t>
      </w:r>
      <w:r>
        <w:t>The best combined power-and-loading spec set among available-now Energy Corridor suites: 480V three-phase power in every building plus genuine dock and drive-in loading — the closest thing to a lab-ready shell in the search, short of the Technipark lab rooms. Suite 200 at 3,000 SF is the closest available size above target, and three suites are available now, supporting an accelerated timeline. Gaps: rate unpublished; no lab HVAC or exhaust noted (18–20 ft clear is standard industrial, not lab-built); parking ample but unquantified. If the Technipark lab suites price out or fail the exhaust test, Park Ten is the fallback — the power question is already solved, and the budget can fund HVAC/exhaust retrofit.</w:t>
      </w:r>
    </w:p>
    <w:p>
      <w:pPr>
        <w:pStyle w:val="Heading2"/>
      </w:pPr>
      <w:r>
        <w:t>L05 · Dairy Ashford Business Park — 12654-12674 Goar Rd (Ste 12664)  (Fit score 3/5)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12654-12674 Goar Rd, Houston, TX 77077</w:t>
            </w:r>
          </w:p>
        </w:tc>
      </w:tr>
      <w:tr>
        <w:tc>
          <w:tcPr>
            <w:tcW w:type="dxa" w:w="2268"/>
          </w:tcPr>
          <w:p>
            <w:pPr>
              <w:spacing w:after="40" w:before="40"/>
            </w:pPr>
            <w:r>
              <w:rPr>
                <w:sz w:val="20"/>
              </w:rPr>
              <w:t>Submarket</w:t>
            </w:r>
          </w:p>
        </w:tc>
        <w:tc>
          <w:tcPr>
            <w:tcW w:type="dxa" w:w="7370"/>
          </w:tcPr>
          <w:p>
            <w:pPr>
              <w:spacing w:after="40" w:before="40"/>
            </w:pPr>
            <w:r>
              <w:rPr>
                <w:sz w:val="20"/>
              </w:rPr>
              <w:t>Energy Corridor (West Houston, I-10 &amp; Highway 6)</w:t>
            </w:r>
          </w:p>
        </w:tc>
      </w:tr>
      <w:tr>
        <w:tc>
          <w:tcPr>
            <w:tcW w:type="dxa" w:w="2268"/>
          </w:tcPr>
          <w:p>
            <w:pPr>
              <w:spacing w:after="40" w:before="40"/>
            </w:pPr>
            <w:r>
              <w:rPr>
                <w:sz w:val="20"/>
              </w:rPr>
              <w:t>Available SF</w:t>
            </w:r>
          </w:p>
        </w:tc>
        <w:tc>
          <w:tcPr>
            <w:tcW w:type="dxa" w:w="7370"/>
          </w:tcPr>
          <w:p>
            <w:pPr>
              <w:spacing w:after="40" w:before="40"/>
            </w:pPr>
            <w:r>
              <w:rPr>
                <w:sz w:val="20"/>
              </w:rPr>
              <w:t>2,257 (CONFIRMED — 13% over the 2,000 SF target)</w:t>
            </w:r>
          </w:p>
        </w:tc>
      </w:tr>
      <w:tr>
        <w:tc>
          <w:tcPr>
            <w:tcW w:type="dxa" w:w="2268"/>
          </w:tcPr>
          <w:p>
            <w:pPr>
              <w:spacing w:after="40" w:before="40"/>
            </w:pPr>
            <w:r>
              <w:rPr>
                <w:sz w:val="20"/>
              </w:rPr>
              <w:t>Asking rent</w:t>
            </w:r>
          </w:p>
        </w:tc>
        <w:tc>
          <w:tcPr>
            <w:tcW w:type="dxa" w:w="7370"/>
          </w:tcPr>
          <w:p>
            <w:pPr>
              <w:spacing w:after="40" w:before="40"/>
            </w:pPr>
            <w:r>
              <w:rPr>
                <w:sz w:val="20"/>
              </w:rPr>
              <w:t>CONFIRMED — $11.00/SF/yr NNN ≈ $2,069/mo base (sibling Ste 12654, 5,075 SF, same rate ≈ $4,652/mo)</w:t>
            </w:r>
          </w:p>
        </w:tc>
      </w:tr>
      <w:tr>
        <w:tc>
          <w:tcPr>
            <w:tcW w:type="dxa" w:w="2268"/>
          </w:tcPr>
          <w:p>
            <w:pPr>
              <w:spacing w:after="40" w:before="40"/>
            </w:pPr>
            <w:r>
              <w:rPr>
                <w:sz w:val="20"/>
              </w:rPr>
              <w:t>Lease type</w:t>
            </w:r>
          </w:p>
        </w:tc>
        <w:tc>
          <w:tcPr>
            <w:tcW w:type="dxa" w:w="7370"/>
          </w:tcPr>
          <w:p>
            <w:pPr>
              <w:spacing w:after="40" w:before="40"/>
            </w:pPr>
            <w:r>
              <w:rPr>
                <w:sz w:val="20"/>
              </w:rPr>
              <w:t>Triple Net</w:t>
            </w:r>
          </w:p>
        </w:tc>
      </w:tr>
      <w:tr>
        <w:tc>
          <w:tcPr>
            <w:tcW w:type="dxa" w:w="2268"/>
          </w:tcPr>
          <w:p>
            <w:pPr>
              <w:spacing w:after="40" w:before="40"/>
            </w:pPr>
            <w:r>
              <w:rPr>
                <w:sz w:val="20"/>
              </w:rPr>
              <w:t>Availability</w:t>
            </w:r>
          </w:p>
        </w:tc>
        <w:tc>
          <w:tcPr>
            <w:tcW w:type="dxa" w:w="7370"/>
          </w:tcPr>
          <w:p>
            <w:pPr>
              <w:spacing w:after="40" w:before="40"/>
            </w:pPr>
            <w:r>
              <w:rPr>
                <w:sz w:val="20"/>
              </w:rPr>
              <w:t>CONFIRMED — now</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HVAC</w:t>
            </w:r>
          </w:p>
        </w:tc>
        <w:tc>
          <w:tcPr>
            <w:tcW w:type="dxa" w:w="7370"/>
          </w:tcPr>
          <w:p>
            <w:pPr>
              <w:spacing w:after="40" w:before="40"/>
            </w:pPr>
            <w:r>
              <w:rPr>
                <w:sz w:val="20"/>
              </w:rPr>
              <w:t>PARTIAL — 'heated &amp; cooled warehouse space' / climate-controlled warehouse (CityFeet); zone control unknown</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Loading</w:t>
            </w:r>
          </w:p>
        </w:tc>
        <w:tc>
          <w:tcPr>
            <w:tcW w:type="dxa" w:w="7370"/>
          </w:tcPr>
          <w:p>
            <w:pPr>
              <w:spacing w:after="40" w:before="40"/>
            </w:pPr>
            <w:r>
              <w:rPr>
                <w:sz w:val="20"/>
              </w:rPr>
              <w:t>PARTIAL — grade-level loading confirmed (CityFeet highlights); docks unknown</w:t>
            </w:r>
          </w:p>
        </w:tc>
      </w:tr>
      <w:tr>
        <w:tc>
          <w:tcPr>
            <w:tcW w:type="dxa" w:w="2268"/>
          </w:tcPr>
          <w:p>
            <w:pPr>
              <w:spacing w:after="40" w:before="40"/>
            </w:pPr>
            <w:r>
              <w:rPr>
                <w:sz w:val="20"/>
              </w:rPr>
              <w:t>Parking</w:t>
            </w:r>
          </w:p>
        </w:tc>
        <w:tc>
          <w:tcPr>
            <w:tcW w:type="dxa" w:w="7370"/>
          </w:tcPr>
          <w:p>
            <w:pPr>
              <w:spacing w:after="40" w:before="40"/>
            </w:pPr>
            <w:r>
              <w:rPr>
                <w:sz w:val="20"/>
              </w:rPr>
              <w:t>CONFIRMED — 94 surface spaces on site, included in rent (~42 per 1,000 SF at the 2,257 SF suite — very high)</w:t>
            </w:r>
          </w:p>
        </w:tc>
      </w:tr>
      <w:tr>
        <w:tc>
          <w:tcPr>
            <w:tcW w:type="dxa" w:w="2268"/>
          </w:tcPr>
          <w:p>
            <w:pPr>
              <w:spacing w:after="40" w:before="40"/>
            </w:pPr>
            <w:r>
              <w:rPr>
                <w:sz w:val="20"/>
              </w:rPr>
              <w:t>Expansion / ROFR</w:t>
            </w:r>
          </w:p>
        </w:tc>
        <w:tc>
          <w:tcPr>
            <w:tcW w:type="dxa" w:w="7370"/>
          </w:tcPr>
          <w:p>
            <w:pPr>
              <w:spacing w:after="40" w:before="40"/>
            </w:pPr>
            <w:r>
              <w:rPr>
                <w:sz w:val="20"/>
              </w:rPr>
              <w:t>PARTIAL — campus offers suites 1,340–16,000+ SF; Ste 12654 (5,075 SF) adjacent could support expansion; ROFR unknown</w:t>
            </w:r>
          </w:p>
        </w:tc>
      </w:tr>
      <w:tr>
        <w:tc>
          <w:tcPr>
            <w:tcW w:type="dxa" w:w="2268"/>
          </w:tcPr>
          <w:p>
            <w:pPr>
              <w:spacing w:after="40" w:before="40"/>
            </w:pPr>
            <w:r>
              <w:rPr>
                <w:sz w:val="20"/>
              </w:rPr>
              <w:t>Fit score</w:t>
            </w:r>
          </w:p>
        </w:tc>
        <w:tc>
          <w:tcPr>
            <w:tcW w:type="dxa" w:w="7370"/>
          </w:tcPr>
          <w:p>
            <w:pPr>
              <w:spacing w:after="40" w:before="40"/>
            </w:pPr>
            <w:r>
              <w:rPr>
                <w:sz w:val="20"/>
              </w:rPr>
              <w:t>3 of 5</w:t>
            </w:r>
          </w:p>
        </w:tc>
      </w:tr>
      <w:tr>
        <w:tc>
          <w:tcPr>
            <w:tcW w:type="dxa" w:w="2268"/>
          </w:tcPr>
          <w:p>
            <w:pPr>
              <w:spacing w:after="40" w:before="40"/>
            </w:pPr>
            <w:r>
              <w:rPr>
                <w:sz w:val="20"/>
              </w:rPr>
              <w:t>Listing broker</w:t>
            </w:r>
          </w:p>
        </w:tc>
        <w:tc>
          <w:tcPr>
            <w:tcW w:type="dxa" w:w="7370"/>
          </w:tcPr>
          <w:p>
            <w:pPr>
              <w:spacing w:after="40" w:before="40"/>
            </w:pPr>
            <w:r>
              <w:rPr>
                <w:sz w:val="20"/>
              </w:rPr>
              <w:t>Ryan Young, Fort Commercial Real Estate — 281-584-3320</w:t>
            </w:r>
          </w:p>
        </w:tc>
      </w:tr>
      <w:tr>
        <w:tc>
          <w:tcPr>
            <w:tcW w:type="dxa" w:w="2268"/>
          </w:tcPr>
          <w:p>
            <w:pPr>
              <w:spacing w:after="40" w:before="40"/>
            </w:pPr>
            <w:r>
              <w:rPr>
                <w:sz w:val="20"/>
              </w:rPr>
              <w:t>Listing status</w:t>
            </w:r>
          </w:p>
        </w:tc>
        <w:tc>
          <w:tcPr>
            <w:tcW w:type="dxa" w:w="7370"/>
          </w:tcPr>
          <w:p>
            <w:pPr>
              <w:spacing w:after="40" w:before="40"/>
            </w:pPr>
            <w:r>
              <w:rPr>
                <w:sz w:val="20"/>
              </w:rPr>
              <w:t>Active (CityFeet + LoopNet + Showcase; leasing flyer dated July 2026)</w:t>
            </w:r>
          </w:p>
        </w:tc>
      </w:tr>
    </w:tbl>
    <w:p>
      <w:r>
        <w:rPr>
          <w:b/>
        </w:rPr>
        <w:t xml:space="preserve">Assessment. </w:t>
      </w:r>
      <w:r>
        <w:t>The only candidate with published pricing in the search — and the pricing is the story: $11.00/SF/yr NNN ≈ $2,069/month base on 2,257 SF, roughly one-fifth of the client's budget floor, leaving substantial headroom for lab build-out. It is also one of only two candidates with confirmed on-target size, available now, in core Energy Corridor, with climate-controlled (heated and cooled) warehouse space that can be zoned for lab use and very high parking (94 spaces included in rent). Gaps: NNN means operating costs stack on the $11 base — total occupancy would still sit well under the $10K floor; grade-level loading only (dock unknown); power, generator, and lab-exhaust specs unpublished. Tour it first for calibration — it establishes what the market actually charges — and ask whether lab exhaust/make-up air can be added.</w:t>
      </w:r>
    </w:p>
    <w:p>
      <w:pPr>
        <w:pStyle w:val="Heading2"/>
      </w:pPr>
      <w:r>
        <w:t>L06 · Park 10 Business Center — 16820 Barker Springs Rd  (Fit score 3/5)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16820 Barker Springs Rd,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10 (Barker Cypress, off I-10)</w:t>
            </w:r>
          </w:p>
        </w:tc>
      </w:tr>
      <w:tr>
        <w:tc>
          <w:tcPr>
            <w:tcW w:type="dxa" w:w="2268"/>
          </w:tcPr>
          <w:p>
            <w:pPr>
              <w:spacing w:after="40" w:before="40"/>
            </w:pPr>
            <w:r>
              <w:rPr>
                <w:sz w:val="20"/>
              </w:rPr>
              <w:t>Available SF</w:t>
            </w:r>
          </w:p>
        </w:tc>
        <w:tc>
          <w:tcPr>
            <w:tcW w:type="dxa" w:w="7370"/>
          </w:tcPr>
          <w:p>
            <w:pPr>
              <w:spacing w:after="40" w:before="40"/>
            </w:pPr>
            <w:r>
              <w:rPr>
                <w:sz w:val="20"/>
              </w:rPr>
              <w:t>3,625–5,827 SF (5 suites); larger contiguous up to ~7,823 SF per syndications</w:t>
            </w:r>
          </w:p>
        </w:tc>
      </w:tr>
      <w:tr>
        <w:tc>
          <w:tcPr>
            <w:tcW w:type="dxa" w:w="2268"/>
          </w:tcPr>
          <w:p>
            <w:pPr>
              <w:spacing w:after="40" w:before="40"/>
            </w:pPr>
            <w:r>
              <w:rPr>
                <w:sz w:val="20"/>
              </w:rPr>
              <w:t>Asking rent</w:t>
            </w:r>
          </w:p>
        </w:tc>
        <w:tc>
          <w:tcPr>
            <w:tcW w:type="dxa" w:w="7370"/>
          </w:tcPr>
          <w:p>
            <w:pPr>
              <w:spacing w:after="40" w:before="40"/>
            </w:pPr>
            <w:r>
              <w:rPr>
                <w:sz w:val="20"/>
              </w:rPr>
              <w:t>Quoted upon request</w:t>
            </w:r>
          </w:p>
        </w:tc>
      </w:tr>
      <w:tr>
        <w:tc>
          <w:tcPr>
            <w:tcW w:type="dxa" w:w="2268"/>
          </w:tcPr>
          <w:p>
            <w:pPr>
              <w:spacing w:after="40" w:before="40"/>
            </w:pPr>
            <w:r>
              <w:rPr>
                <w:sz w:val="20"/>
              </w:rPr>
              <w:t>Lease type</w:t>
            </w:r>
          </w:p>
        </w:tc>
        <w:tc>
          <w:tcPr>
            <w:tcW w:type="dxa" w:w="7370"/>
          </w:tcPr>
          <w:p>
            <w:pPr>
              <w:spacing w:after="40" w:before="40"/>
            </w:pPr>
            <w:r>
              <w:rPr>
                <w:sz w:val="20"/>
              </w:rPr>
              <w:t>Ste 407 listed as Triple Net; others TBD</w:t>
            </w:r>
          </w:p>
        </w:tc>
      </w:tr>
      <w:tr>
        <w:tc>
          <w:tcPr>
            <w:tcW w:type="dxa" w:w="2268"/>
          </w:tcPr>
          <w:p>
            <w:pPr>
              <w:spacing w:after="40" w:before="40"/>
            </w:pPr>
            <w:r>
              <w:rPr>
                <w:sz w:val="20"/>
              </w:rPr>
              <w:t>Availability</w:t>
            </w:r>
          </w:p>
        </w:tc>
        <w:tc>
          <w:tcPr>
            <w:tcW w:type="dxa" w:w="7370"/>
          </w:tcPr>
          <w:p>
            <w:pPr>
              <w:spacing w:after="40" w:before="40"/>
            </w:pPr>
            <w:r>
              <w:rPr>
                <w:sz w:val="20"/>
              </w:rPr>
              <w:t>CONFIRMED — now (all five suites)</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Loading</w:t>
            </w:r>
          </w:p>
        </w:tc>
        <w:tc>
          <w:tcPr>
            <w:tcW w:type="dxa" w:w="7370"/>
          </w:tcPr>
          <w:p>
            <w:pPr>
              <w:spacing w:after="40" w:before="40"/>
            </w:pPr>
            <w:r>
              <w:rPr>
                <w:sz w:val="20"/>
              </w:rPr>
              <w:t>CONFIRMED — dock-high and semi-dock loading (CityFeet highlights); Ste 407 = semi-dock</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Tenant-controlled HVAC (amenity list); suite-level specs unknown</w:t>
            </w:r>
          </w:p>
        </w:tc>
      </w:tr>
      <w:tr>
        <w:tc>
          <w:tcPr>
            <w:tcW w:type="dxa" w:w="2268"/>
          </w:tcPr>
          <w:p>
            <w:pPr>
              <w:spacing w:after="40" w:before="40"/>
            </w:pPr>
            <w:r>
              <w:rPr>
                <w:sz w:val="20"/>
              </w:rPr>
              <w:t>Parking</w:t>
            </w:r>
          </w:p>
        </w:tc>
        <w:tc>
          <w:tcPr>
            <w:tcW w:type="dxa" w:w="7370"/>
          </w:tcPr>
          <w:p>
            <w:pPr>
              <w:spacing w:after="40" w:before="40"/>
            </w:pPr>
            <w:r>
              <w:rPr>
                <w:sz w:val="20"/>
              </w:rPr>
              <w:t>PARTIAL — ample parking (marketing); exact ratio unknown</w:t>
            </w:r>
          </w:p>
        </w:tc>
      </w:tr>
      <w:tr>
        <w:tc>
          <w:tcPr>
            <w:tcW w:type="dxa" w:w="2268"/>
          </w:tcPr>
          <w:p>
            <w:pPr>
              <w:spacing w:after="40" w:before="40"/>
            </w:pPr>
            <w:r>
              <w:rPr>
                <w:sz w:val="20"/>
              </w:rPr>
              <w:t>24/7 access</w:t>
            </w:r>
          </w:p>
        </w:tc>
        <w:tc>
          <w:tcPr>
            <w:tcW w:type="dxa" w:w="7370"/>
          </w:tcPr>
          <w:p>
            <w:pPr>
              <w:spacing w:after="40" w:before="40"/>
            </w:pPr>
            <w:r>
              <w:rPr>
                <w:sz w:val="20"/>
              </w:rPr>
              <w:t>CONFIRMED — 24-hour access listed as amenity</w:t>
            </w:r>
          </w:p>
        </w:tc>
      </w:tr>
      <w:tr>
        <w:tc>
          <w:tcPr>
            <w:tcW w:type="dxa" w:w="2268"/>
          </w:tcPr>
          <w:p>
            <w:pPr>
              <w:spacing w:after="40" w:before="40"/>
            </w:pPr>
            <w:r>
              <w:rPr>
                <w:sz w:val="20"/>
              </w:rPr>
              <w:t>Expansion / ROFR</w:t>
            </w:r>
          </w:p>
        </w:tc>
        <w:tc>
          <w:tcPr>
            <w:tcW w:type="dxa" w:w="7370"/>
          </w:tcPr>
          <w:p>
            <w:pPr>
              <w:spacing w:after="40" w:before="40"/>
            </w:pPr>
            <w:r>
              <w:rPr>
                <w:sz w:val="20"/>
              </w:rPr>
              <w:t>PARTIAL — five-building light industrial park with multiple suites available now — best multi-suite expansion inventory found; ROFR unknown</w:t>
            </w:r>
          </w:p>
        </w:tc>
      </w:tr>
      <w:tr>
        <w:tc>
          <w:tcPr>
            <w:tcW w:type="dxa" w:w="2268"/>
          </w:tcPr>
          <w:p>
            <w:pPr>
              <w:spacing w:after="40" w:before="40"/>
            </w:pPr>
            <w:r>
              <w:rPr>
                <w:sz w:val="20"/>
              </w:rPr>
              <w:t>Fit score</w:t>
            </w:r>
          </w:p>
        </w:tc>
        <w:tc>
          <w:tcPr>
            <w:tcW w:type="dxa" w:w="7370"/>
          </w:tcPr>
          <w:p>
            <w:pPr>
              <w:spacing w:after="40" w:before="40"/>
            </w:pPr>
            <w:r>
              <w:rPr>
                <w:sz w:val="20"/>
              </w:rPr>
              <w:t>3 of 5</w:t>
            </w:r>
          </w:p>
        </w:tc>
      </w:tr>
      <w:tr>
        <w:tc>
          <w:tcPr>
            <w:tcW w:type="dxa" w:w="2268"/>
          </w:tcPr>
          <w:p>
            <w:pPr>
              <w:spacing w:after="40" w:before="40"/>
            </w:pPr>
            <w:r>
              <w:rPr>
                <w:sz w:val="20"/>
              </w:rPr>
              <w:t>Listing broker</w:t>
            </w:r>
          </w:p>
        </w:tc>
        <w:tc>
          <w:tcPr>
            <w:tcW w:type="dxa" w:w="7370"/>
          </w:tcPr>
          <w:p>
            <w:pPr>
              <w:spacing w:after="40" w:before="40"/>
            </w:pPr>
            <w:r>
              <w:rPr>
                <w:sz w:val="20"/>
              </w:rPr>
              <w:t>Meg Zschappel, Stream Realty Partners — 832-316-1053</w:t>
            </w:r>
          </w:p>
        </w:tc>
      </w:tr>
      <w:tr>
        <w:tc>
          <w:tcPr>
            <w:tcW w:type="dxa" w:w="2268"/>
          </w:tcPr>
          <w:p>
            <w:pPr>
              <w:spacing w:after="40" w:before="40"/>
            </w:pPr>
            <w:r>
              <w:rPr>
                <w:sz w:val="20"/>
              </w:rPr>
              <w:t>Listing status</w:t>
            </w:r>
          </w:p>
        </w:tc>
        <w:tc>
          <w:tcPr>
            <w:tcW w:type="dxa" w:w="7370"/>
          </w:tcPr>
          <w:p>
            <w:pPr>
              <w:spacing w:after="40" w:before="40"/>
            </w:pPr>
            <w:r>
              <w:rPr>
                <w:sz w:val="20"/>
              </w:rPr>
              <w:t>Active (CityFeet + Showcase + syndication, Oct 2026); built 1978</w:t>
            </w:r>
          </w:p>
        </w:tc>
      </w:tr>
    </w:tbl>
    <w:p>
      <w:r>
        <w:rPr>
          <w:b/>
        </w:rPr>
        <w:t xml:space="preserve">Assessment. </w:t>
      </w:r>
      <w:r>
        <w:t>The strongest expansion story in the search — five suites available now across a five-building Park 10 light-industrial park, with confirmed dock-high and semi-dock loading and 24-hour access (the only candidate with confirmed 24/7 access). If the client expects to grow beyond 2,000 SF, this is the campus that can absorb it. Gaps: built 1978 (older vintage); rate unpublished; power, generator, and lab infrastructure all unknown — tenant-controlled HVAC is not lab HVAC; the smallest suite is 3,625 SF, 1.8x target. The Stream Realty call (same broker as L03) should cover rate, power service, and lab feasibility.</w:t>
      </w:r>
    </w:p>
    <w:p>
      <w:pPr>
        <w:pStyle w:val="Heading2"/>
      </w:pPr>
      <w:r>
        <w:t>L07 · Park 10 Energy Corridor — 1304 Langham Creek Dr (Crescent 10)  (Fit score 3/5)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1304 Langham Creek Dr,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10</w:t>
            </w:r>
          </w:p>
        </w:tc>
      </w:tr>
      <w:tr>
        <w:tc>
          <w:tcPr>
            <w:tcW w:type="dxa" w:w="2268"/>
          </w:tcPr>
          <w:p>
            <w:pPr>
              <w:spacing w:after="40" w:before="40"/>
            </w:pPr>
            <w:r>
              <w:rPr>
                <w:sz w:val="20"/>
              </w:rPr>
              <w:t>Available SF</w:t>
            </w:r>
          </w:p>
        </w:tc>
        <w:tc>
          <w:tcPr>
            <w:tcW w:type="dxa" w:w="7370"/>
          </w:tcPr>
          <w:p>
            <w:pPr>
              <w:spacing w:after="40" w:before="40"/>
            </w:pPr>
            <w:r>
              <w:rPr>
                <w:sz w:val="20"/>
              </w:rPr>
              <w:t>26,969 total; divisible 971–7,789 SF (CONFIRMED — can be sized exactly to 2,000 SF)</w:t>
            </w:r>
          </w:p>
        </w:tc>
      </w:tr>
      <w:tr>
        <w:tc>
          <w:tcPr>
            <w:tcW w:type="dxa" w:w="2268"/>
          </w:tcPr>
          <w:p>
            <w:pPr>
              <w:spacing w:after="40" w:before="40"/>
            </w:pPr>
            <w:r>
              <w:rPr>
                <w:sz w:val="20"/>
              </w:rPr>
              <w:t>Asking rent</w:t>
            </w:r>
          </w:p>
        </w:tc>
        <w:tc>
          <w:tcPr>
            <w:tcW w:type="dxa" w:w="7370"/>
          </w:tcPr>
          <w:p>
            <w:pPr>
              <w:spacing w:after="40" w:before="40"/>
            </w:pPr>
            <w:r>
              <w:rPr>
                <w:sz w:val="20"/>
              </w:rPr>
              <w:t>Quoted upon request — contact for pricing</w:t>
            </w:r>
          </w:p>
        </w:tc>
      </w:tr>
      <w:tr>
        <w:tc>
          <w:tcPr>
            <w:tcW w:type="dxa" w:w="2268"/>
          </w:tcPr>
          <w:p>
            <w:pPr>
              <w:spacing w:after="40" w:before="40"/>
            </w:pPr>
            <w:r>
              <w:rPr>
                <w:sz w:val="20"/>
              </w:rPr>
              <w:t>Availability</w:t>
            </w:r>
          </w:p>
        </w:tc>
        <w:tc>
          <w:tcPr>
            <w:tcW w:type="dxa" w:w="7370"/>
          </w:tcPr>
          <w:p>
            <w:pPr>
              <w:spacing w:after="40" w:before="40"/>
            </w:pPr>
            <w:r>
              <w:rPr>
                <w:sz w:val="20"/>
              </w:rPr>
              <w:t>CONFIRMED — immediate (CommercialCafe, updated Oct 3 2026)</w:t>
            </w:r>
          </w:p>
        </w:tc>
      </w:tr>
      <w:tr>
        <w:tc>
          <w:tcPr>
            <w:tcW w:type="dxa" w:w="2268"/>
          </w:tcPr>
          <w:p>
            <w:pPr>
              <w:spacing w:after="40" w:before="40"/>
            </w:pPr>
            <w:r>
              <w:rPr>
                <w:sz w:val="20"/>
              </w:rPr>
              <w:t>Term offered</w:t>
            </w:r>
          </w:p>
        </w:tc>
        <w:tc>
          <w:tcPr>
            <w:tcW w:type="dxa" w:w="7370"/>
          </w:tcPr>
          <w:p>
            <w:pPr>
              <w:spacing w:after="40" w:before="40"/>
            </w:pPr>
            <w:r>
              <w:rPr>
                <w:sz w:val="20"/>
              </w:rPr>
              <w:t>Renewal option: Yes (CommercialCafe); initial term unknown</w:t>
            </w:r>
          </w:p>
        </w:tc>
      </w:tr>
      <w:tr>
        <w:tc>
          <w:tcPr>
            <w:tcW w:type="dxa" w:w="2268"/>
          </w:tcPr>
          <w:p>
            <w:pPr>
              <w:spacing w:after="40" w:before="40"/>
            </w:pPr>
            <w:r>
              <w:rPr>
                <w:sz w:val="20"/>
              </w:rPr>
              <w:t>Loading</w:t>
            </w:r>
          </w:p>
        </w:tc>
        <w:tc>
          <w:tcPr>
            <w:tcW w:type="dxa" w:w="7370"/>
          </w:tcPr>
          <w:p>
            <w:pPr>
              <w:spacing w:after="40" w:before="40"/>
            </w:pPr>
            <w:r>
              <w:rPr>
                <w:sz w:val="20"/>
              </w:rPr>
              <w:t>PARTIAL — separate parking and loading areas (marketing); dock specifics unknown</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Unknown</w:t>
            </w:r>
          </w:p>
        </w:tc>
      </w:tr>
      <w:tr>
        <w:tc>
          <w:tcPr>
            <w:tcW w:type="dxa" w:w="2268"/>
          </w:tcPr>
          <w:p>
            <w:pPr>
              <w:spacing w:after="40" w:before="40"/>
            </w:pPr>
            <w:r>
              <w:rPr>
                <w:sz w:val="20"/>
              </w:rPr>
              <w:t>Expansion / ROFR</w:t>
            </w:r>
          </w:p>
        </w:tc>
        <w:tc>
          <w:tcPr>
            <w:tcW w:type="dxa" w:w="7370"/>
          </w:tcPr>
          <w:p>
            <w:pPr>
              <w:spacing w:after="40" w:before="40"/>
            </w:pPr>
            <w:r>
              <w:rPr>
                <w:sz w:val="20"/>
              </w:rPr>
              <w:t>PARTIAL — divisibility to 971–7,789 SF with renewal option structurally supports take-down expansion; ROFR unknown</w:t>
            </w:r>
          </w:p>
        </w:tc>
      </w:tr>
      <w:tr>
        <w:tc>
          <w:tcPr>
            <w:tcW w:type="dxa" w:w="2268"/>
          </w:tcPr>
          <w:p>
            <w:pPr>
              <w:spacing w:after="40" w:before="40"/>
            </w:pPr>
            <w:r>
              <w:rPr>
                <w:sz w:val="20"/>
              </w:rPr>
              <w:t>Fit score</w:t>
            </w:r>
          </w:p>
        </w:tc>
        <w:tc>
          <w:tcPr>
            <w:tcW w:type="dxa" w:w="7370"/>
          </w:tcPr>
          <w:p>
            <w:pPr>
              <w:spacing w:after="40" w:before="40"/>
            </w:pPr>
            <w:r>
              <w:rPr>
                <w:sz w:val="20"/>
              </w:rPr>
              <w:t>3 of 5</w:t>
            </w:r>
          </w:p>
        </w:tc>
      </w:tr>
      <w:tr>
        <w:tc>
          <w:tcPr>
            <w:tcW w:type="dxa" w:w="2268"/>
          </w:tcPr>
          <w:p>
            <w:pPr>
              <w:spacing w:after="40" w:before="40"/>
            </w:pPr>
            <w:r>
              <w:rPr>
                <w:sz w:val="20"/>
              </w:rPr>
              <w:t>Listing broker</w:t>
            </w:r>
          </w:p>
        </w:tc>
        <w:tc>
          <w:tcPr>
            <w:tcW w:type="dxa" w:w="7370"/>
          </w:tcPr>
          <w:p>
            <w:pPr>
              <w:spacing w:after="40" w:before="40"/>
            </w:pPr>
            <w:r>
              <w:rPr>
                <w:sz w:val="20"/>
              </w:rPr>
              <w:t>Colliers (listing brokerage)</w:t>
            </w:r>
          </w:p>
        </w:tc>
      </w:tr>
      <w:tr>
        <w:tc>
          <w:tcPr>
            <w:tcW w:type="dxa" w:w="2268"/>
          </w:tcPr>
          <w:p>
            <w:pPr>
              <w:spacing w:after="40" w:before="40"/>
            </w:pPr>
            <w:r>
              <w:rPr>
                <w:sz w:val="20"/>
              </w:rPr>
              <w:t>Listing status</w:t>
            </w:r>
          </w:p>
        </w:tc>
        <w:tc>
          <w:tcPr>
            <w:tcW w:type="dxa" w:w="7370"/>
          </w:tcPr>
          <w:p>
            <w:pPr>
              <w:spacing w:after="40" w:before="40"/>
            </w:pPr>
            <w:r>
              <w:rPr>
                <w:sz w:val="20"/>
              </w:rPr>
              <w:t>Active (CommercialCafe updated Oct 3 2026; Colliers listing live); built 1978</w:t>
            </w:r>
          </w:p>
        </w:tc>
      </w:tr>
    </w:tbl>
    <w:p>
      <w:r>
        <w:rPr>
          <w:b/>
        </w:rPr>
        <w:t xml:space="preserve">Assessment. </w:t>
      </w:r>
      <w:r>
        <w:t>Divisibility is the asset — the space can be sized exactly to 2,000 SF, which no other candidate guarantees, and availability is immediate with a renewal option confirmed. In a submarket where most suites run 2.5–3x the target, this is the cleanest right-size option. Gaps: rate, power, loading, and lab specs are all unpublished — essentially a rate-blind option that qualifies or dies on one broker call. Assign it to the Colliers queue behind the Technipark calls (same brokerage).</w:t>
      </w:r>
    </w:p>
    <w:p>
      <w:pPr>
        <w:pStyle w:val="Heading2"/>
      </w:pPr>
      <w:r>
        <w:t>L08 · Westgate Industrial Park — 19407 Park Row  (Fit score 3/5)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19407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Row</w:t>
            </w:r>
          </w:p>
        </w:tc>
      </w:tr>
      <w:tr>
        <w:tc>
          <w:tcPr>
            <w:tcW w:type="dxa" w:w="2268"/>
          </w:tcPr>
          <w:p>
            <w:pPr>
              <w:spacing w:after="40" w:before="40"/>
            </w:pPr>
            <w:r>
              <w:rPr>
                <w:sz w:val="20"/>
              </w:rPr>
              <w:t>Available SF</w:t>
            </w:r>
          </w:p>
        </w:tc>
        <w:tc>
          <w:tcPr>
            <w:tcW w:type="dxa" w:w="7370"/>
          </w:tcPr>
          <w:p>
            <w:pPr>
              <w:spacing w:after="40" w:before="40"/>
            </w:pPr>
            <w:r>
              <w:rPr>
                <w:sz w:val="20"/>
              </w:rPr>
              <w:t>4,960 (PARTIAL — 2.5x the 2,000 SF target)</w:t>
            </w:r>
          </w:p>
        </w:tc>
      </w:tr>
      <w:tr>
        <w:tc>
          <w:tcPr>
            <w:tcW w:type="dxa" w:w="2268"/>
          </w:tcPr>
          <w:p>
            <w:pPr>
              <w:spacing w:after="40" w:before="40"/>
            </w:pPr>
            <w:r>
              <w:rPr>
                <w:sz w:val="20"/>
              </w:rPr>
              <w:t>Asking rent</w:t>
            </w:r>
          </w:p>
        </w:tc>
        <w:tc>
          <w:tcPr>
            <w:tcW w:type="dxa" w:w="7370"/>
          </w:tcPr>
          <w:p>
            <w:pPr>
              <w:spacing w:after="40" w:before="40"/>
            </w:pPr>
            <w:r>
              <w:rPr>
                <w:sz w:val="20"/>
              </w:rPr>
              <w:t>CONFIRMED — $12.00/SF/yr NNN = $4,960/mo (base; gross with NNN estimated $6–8K/mo, still under the $10K budget floor)</w:t>
            </w:r>
          </w:p>
        </w:tc>
      </w:tr>
      <w:tr>
        <w:tc>
          <w:tcPr>
            <w:tcW w:type="dxa" w:w="2268"/>
          </w:tcPr>
          <w:p>
            <w:pPr>
              <w:spacing w:after="40" w:before="40"/>
            </w:pPr>
            <w:r>
              <w:rPr>
                <w:sz w:val="20"/>
              </w:rPr>
              <w:t>Lease type</w:t>
            </w:r>
          </w:p>
        </w:tc>
        <w:tc>
          <w:tcPr>
            <w:tcW w:type="dxa" w:w="7370"/>
          </w:tcPr>
          <w:p>
            <w:pPr>
              <w:spacing w:after="40" w:before="40"/>
            </w:pPr>
            <w:r>
              <w:rPr>
                <w:sz w:val="20"/>
              </w:rPr>
              <w:t>Triple Net</w:t>
            </w:r>
          </w:p>
        </w:tc>
      </w:tr>
      <w:tr>
        <w:tc>
          <w:tcPr>
            <w:tcW w:type="dxa" w:w="2268"/>
          </w:tcPr>
          <w:p>
            <w:pPr>
              <w:spacing w:after="40" w:before="40"/>
            </w:pPr>
            <w:r>
              <w:rPr>
                <w:sz w:val="20"/>
              </w:rPr>
              <w:t>Availability</w:t>
            </w:r>
          </w:p>
        </w:tc>
        <w:tc>
          <w:tcPr>
            <w:tcW w:type="dxa" w:w="7370"/>
          </w:tcPr>
          <w:p>
            <w:pPr>
              <w:spacing w:after="40" w:before="40"/>
            </w:pPr>
            <w:r>
              <w:rPr>
                <w:sz w:val="20"/>
              </w:rPr>
              <w:t>CONFIRMED — now</w:t>
            </w:r>
          </w:p>
        </w:tc>
      </w:tr>
      <w:tr>
        <w:tc>
          <w:tcPr>
            <w:tcW w:type="dxa" w:w="2268"/>
          </w:tcPr>
          <w:p>
            <w:pPr>
              <w:spacing w:after="40" w:before="40"/>
            </w:pPr>
            <w:r>
              <w:rPr>
                <w:sz w:val="20"/>
              </w:rPr>
              <w:t>Term offered</w:t>
            </w:r>
          </w:p>
        </w:tc>
        <w:tc>
          <w:tcPr>
            <w:tcW w:type="dxa" w:w="7370"/>
          </w:tcPr>
          <w:p>
            <w:pPr>
              <w:spacing w:after="40" w:before="40"/>
            </w:pPr>
            <w:r>
              <w:rPr>
                <w:sz w:val="20"/>
              </w:rPr>
              <w:t>Negotiable</w:t>
            </w:r>
          </w:p>
        </w:tc>
      </w:tr>
      <w:tr>
        <w:tc>
          <w:tcPr>
            <w:tcW w:type="dxa" w:w="2268"/>
          </w:tcPr>
          <w:p>
            <w:pPr>
              <w:spacing w:after="40" w:before="40"/>
            </w:pPr>
            <w:r>
              <w:rPr>
                <w:sz w:val="20"/>
              </w:rPr>
              <w:t>Loading</w:t>
            </w:r>
          </w:p>
        </w:tc>
        <w:tc>
          <w:tcPr>
            <w:tcW w:type="dxa" w:w="7370"/>
          </w:tcPr>
          <w:p>
            <w:pPr>
              <w:spacing w:after="40" w:before="40"/>
            </w:pPr>
            <w:r>
              <w:rPr>
                <w:sz w:val="20"/>
              </w:rPr>
              <w:t>CONFIRMED — 16 dock doors, cross-dock building (Showcase building details + LoopNet syndication); no drive-ins listed</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CONFIRMED — 246 spaces on 3.82 acres (~50 per 1,000 SF — very high)</w:t>
            </w:r>
          </w:p>
        </w:tc>
      </w:tr>
      <w:tr>
        <w:tc>
          <w:tcPr>
            <w:tcW w:type="dxa" w:w="2268"/>
          </w:tcPr>
          <w:p>
            <w:pPr>
              <w:spacing w:after="40" w:before="40"/>
            </w:pPr>
            <w:r>
              <w:rPr>
                <w:sz w:val="20"/>
              </w:rPr>
              <w:t>Expansion / ROFR</w:t>
            </w:r>
          </w:p>
        </w:tc>
        <w:tc>
          <w:tcPr>
            <w:tcW w:type="dxa" w:w="7370"/>
          </w:tcPr>
          <w:p>
            <w:pPr>
              <w:spacing w:after="40" w:before="40"/>
            </w:pPr>
            <w:r>
              <w:rPr>
                <w:sz w:val="20"/>
              </w:rPr>
              <w:t>PARTIAL — industrial park setting between Houston and Katy along I-10; sibling property 19408 Park Row (34,042 SF) marketed by the same park; ROFR unknown</w:t>
            </w:r>
          </w:p>
        </w:tc>
      </w:tr>
      <w:tr>
        <w:tc>
          <w:tcPr>
            <w:tcW w:type="dxa" w:w="2268"/>
          </w:tcPr>
          <w:p>
            <w:pPr>
              <w:spacing w:after="40" w:before="40"/>
            </w:pPr>
            <w:r>
              <w:rPr>
                <w:sz w:val="20"/>
              </w:rPr>
              <w:t>Fit score</w:t>
            </w:r>
          </w:p>
        </w:tc>
        <w:tc>
          <w:tcPr>
            <w:tcW w:type="dxa" w:w="7370"/>
          </w:tcPr>
          <w:p>
            <w:pPr>
              <w:spacing w:after="40" w:before="40"/>
            </w:pPr>
            <w:r>
              <w:rPr>
                <w:sz w:val="20"/>
              </w:rPr>
              <w:t>3 of 5</w:t>
            </w:r>
          </w:p>
        </w:tc>
      </w:tr>
      <w:tr>
        <w:tc>
          <w:tcPr>
            <w:tcW w:type="dxa" w:w="2268"/>
          </w:tcPr>
          <w:p>
            <w:pPr>
              <w:spacing w:after="40" w:before="40"/>
            </w:pPr>
            <w:r>
              <w:rPr>
                <w:sz w:val="20"/>
              </w:rPr>
              <w:t>Listing broker</w:t>
            </w:r>
          </w:p>
        </w:tc>
        <w:tc>
          <w:tcPr>
            <w:tcW w:type="dxa" w:w="7370"/>
          </w:tcPr>
          <w:p>
            <w:pPr>
              <w:spacing w:after="40" w:before="40"/>
            </w:pPr>
            <w:r>
              <w:rPr>
                <w:sz w:val="20"/>
              </w:rPr>
              <w:t>W. Stewart Smith, Fuller Realty Interests — 713-850-8400</w:t>
            </w:r>
          </w:p>
        </w:tc>
      </w:tr>
      <w:tr>
        <w:tc>
          <w:tcPr>
            <w:tcW w:type="dxa" w:w="2268"/>
          </w:tcPr>
          <w:p>
            <w:pPr>
              <w:spacing w:after="40" w:before="40"/>
            </w:pPr>
            <w:r>
              <w:rPr>
                <w:sz w:val="20"/>
              </w:rPr>
              <w:t>Listing status</w:t>
            </w:r>
          </w:p>
        </w:tc>
        <w:tc>
          <w:tcPr>
            <w:tcW w:type="dxa" w:w="7370"/>
          </w:tcPr>
          <w:p>
            <w:pPr>
              <w:spacing w:after="40" w:before="40"/>
            </w:pPr>
            <w:r>
              <w:rPr>
                <w:sz w:val="20"/>
              </w:rPr>
              <w:t>Active (Showcase + LoopNet syndication); built 1984</w:t>
            </w:r>
          </w:p>
        </w:tc>
      </w:tr>
    </w:tbl>
    <w:p>
      <w:r>
        <w:rPr>
          <w:b/>
        </w:rPr>
        <w:t xml:space="preserve">Assessment. </w:t>
      </w:r>
      <w:r>
        <w:t>The only candidate with both confirmed cross-dock loading (16 doors) and published pricing — $4,960/month base NNN on 4,960 SF, on-target per square foot, and with operating costs still landing under the client's $10,000 floor per the research team's estimate. Parking is confirmed at 246 spaces (very high). Gaps: 2.5x the size target; power, HVAC, and all lab specs unknown; built 1984. Tour it alongside Goar Rd for rate calibration, and ask whether a lab demising or fit-out is feasible given the cross-dock configuration.</w:t>
      </w:r>
    </w:p>
    <w:p>
      <w:pPr>
        <w:pStyle w:val="Heading2"/>
      </w:pPr>
      <w:r>
        <w:t>L09 · 16820 Barker Springs cluster — 16802 Barker Springs Rd  (Fit score 2/5)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16802 Barker Springs Rd,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Park 10</w:t>
            </w:r>
          </w:p>
        </w:tc>
      </w:tr>
      <w:tr>
        <w:tc>
          <w:tcPr>
            <w:tcW w:type="dxa" w:w="2268"/>
          </w:tcPr>
          <w:p>
            <w:pPr>
              <w:spacing w:after="40" w:before="40"/>
            </w:pPr>
            <w:r>
              <w:rPr>
                <w:sz w:val="20"/>
              </w:rPr>
              <w:t>Available SF</w:t>
            </w:r>
          </w:p>
        </w:tc>
        <w:tc>
          <w:tcPr>
            <w:tcW w:type="dxa" w:w="7370"/>
          </w:tcPr>
          <w:p>
            <w:pPr>
              <w:spacing w:after="40" w:before="40"/>
            </w:pPr>
            <w:r>
              <w:rPr>
                <w:sz w:val="20"/>
              </w:rPr>
              <w:t>9,316 (KNOWN — far above target, 4.6x)</w:t>
            </w:r>
          </w:p>
        </w:tc>
      </w:tr>
      <w:tr>
        <w:tc>
          <w:tcPr>
            <w:tcW w:type="dxa" w:w="2268"/>
          </w:tcPr>
          <w:p>
            <w:pPr>
              <w:spacing w:after="40" w:before="40"/>
            </w:pPr>
            <w:r>
              <w:rPr>
                <w:sz w:val="20"/>
              </w:rPr>
              <w:t>Asking rent</w:t>
            </w:r>
          </w:p>
        </w:tc>
        <w:tc>
          <w:tcPr>
            <w:tcW w:type="dxa" w:w="7370"/>
          </w:tcPr>
          <w:p>
            <w:pPr>
              <w:spacing w:after="40" w:before="40"/>
            </w:pPr>
            <w:r>
              <w:rPr>
                <w:sz w:val="20"/>
              </w:rPr>
              <w:t>Withheld / quoted upon request</w:t>
            </w:r>
          </w:p>
        </w:tc>
      </w:tr>
      <w:tr>
        <w:tc>
          <w:tcPr>
            <w:tcW w:type="dxa" w:w="2268"/>
          </w:tcPr>
          <w:p>
            <w:pPr>
              <w:spacing w:after="40" w:before="40"/>
            </w:pPr>
            <w:r>
              <w:rPr>
                <w:sz w:val="20"/>
              </w:rPr>
              <w:t>Availability</w:t>
            </w:r>
          </w:p>
        </w:tc>
        <w:tc>
          <w:tcPr>
            <w:tcW w:type="dxa" w:w="7370"/>
          </w:tcPr>
          <w:p>
            <w:pPr>
              <w:spacing w:after="40" w:before="40"/>
            </w:pPr>
            <w:r>
              <w:rPr>
                <w:sz w:val="20"/>
              </w:rPr>
              <w:t>PARTIAL — listed available now (CityFeet/Showcase); condition unknown</w:t>
            </w:r>
          </w:p>
        </w:tc>
      </w:tr>
      <w:tr>
        <w:tc>
          <w:tcPr>
            <w:tcW w:type="dxa" w:w="2268"/>
          </w:tcPr>
          <w:p>
            <w:pPr>
              <w:spacing w:after="40" w:before="40"/>
            </w:pPr>
            <w:r>
              <w:rPr>
                <w:sz w:val="20"/>
              </w:rPr>
              <w:t>Term offered</w:t>
            </w:r>
          </w:p>
        </w:tc>
        <w:tc>
          <w:tcPr>
            <w:tcW w:type="dxa" w:w="7370"/>
          </w:tcPr>
          <w:p>
            <w:pPr>
              <w:spacing w:after="40" w:before="40"/>
            </w:pPr>
            <w:r>
              <w:rPr>
                <w:sz w:val="20"/>
              </w:rPr>
              <w:t>Unknown</w:t>
            </w:r>
          </w:p>
        </w:tc>
      </w:tr>
      <w:tr>
        <w:tc>
          <w:tcPr>
            <w:tcW w:type="dxa" w:w="2268"/>
          </w:tcPr>
          <w:p>
            <w:pPr>
              <w:spacing w:after="40" w:before="40"/>
            </w:pPr>
            <w:r>
              <w:rPr>
                <w:sz w:val="20"/>
              </w:rPr>
              <w:t>Loading</w:t>
            </w:r>
          </w:p>
        </w:tc>
        <w:tc>
          <w:tcPr>
            <w:tcW w:type="dxa" w:w="7370"/>
          </w:tcPr>
          <w:p>
            <w:pPr>
              <w:spacing w:after="40" w:before="40"/>
            </w:pPr>
            <w:r>
              <w:rPr>
                <w:sz w:val="20"/>
              </w:rPr>
              <w:t>Unknown</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Unknown</w:t>
            </w:r>
          </w:p>
        </w:tc>
      </w:tr>
      <w:tr>
        <w:tc>
          <w:tcPr>
            <w:tcW w:type="dxa" w:w="2268"/>
          </w:tcPr>
          <w:p>
            <w:pPr>
              <w:spacing w:after="40" w:before="40"/>
            </w:pPr>
            <w:r>
              <w:rPr>
                <w:sz w:val="20"/>
              </w:rPr>
              <w:t>Expansion / ROFR</w:t>
            </w:r>
          </w:p>
        </w:tc>
        <w:tc>
          <w:tcPr>
            <w:tcW w:type="dxa" w:w="7370"/>
          </w:tcPr>
          <w:p>
            <w:pPr>
              <w:spacing w:after="40" w:before="40"/>
            </w:pPr>
            <w:r>
              <w:rPr>
                <w:sz w:val="20"/>
              </w:rPr>
              <w:t>UNKNOWN — adjacent to the Park 10 Business Center cluster (16820 Barker Springs); combined expansion story possible; ROFR unknown</w:t>
            </w:r>
          </w:p>
        </w:tc>
      </w:tr>
      <w:tr>
        <w:tc>
          <w:tcPr>
            <w:tcW w:type="dxa" w:w="2268"/>
          </w:tcPr>
          <w:p>
            <w:pPr>
              <w:spacing w:after="40" w:before="40"/>
            </w:pPr>
            <w:r>
              <w:rPr>
                <w:sz w:val="20"/>
              </w:rPr>
              <w:t>Fit score</w:t>
            </w:r>
          </w:p>
        </w:tc>
        <w:tc>
          <w:tcPr>
            <w:tcW w:type="dxa" w:w="7370"/>
          </w:tcPr>
          <w:p>
            <w:pPr>
              <w:spacing w:after="40" w:before="40"/>
            </w:pPr>
            <w:r>
              <w:rPr>
                <w:sz w:val="20"/>
              </w:rPr>
              <w:t>2 of 5</w:t>
            </w:r>
          </w:p>
        </w:tc>
      </w:tr>
      <w:tr>
        <w:tc>
          <w:tcPr>
            <w:tcW w:type="dxa" w:w="2268"/>
          </w:tcPr>
          <w:p>
            <w:pPr>
              <w:spacing w:after="40" w:before="40"/>
            </w:pPr>
            <w:r>
              <w:rPr>
                <w:sz w:val="20"/>
              </w:rPr>
              <w:t>Listing broker</w:t>
            </w:r>
          </w:p>
        </w:tc>
        <w:tc>
          <w:tcPr>
            <w:tcW w:type="dxa" w:w="7370"/>
          </w:tcPr>
          <w:p>
            <w:pPr>
              <w:spacing w:after="40" w:before="40"/>
            </w:pPr>
            <w:r>
              <w:rPr>
                <w:sz w:val="20"/>
              </w:rPr>
              <w:t>Unknown from listing; syndicated via CityFeet/Showcase</w:t>
            </w:r>
          </w:p>
        </w:tc>
      </w:tr>
      <w:tr>
        <w:tc>
          <w:tcPr>
            <w:tcW w:type="dxa" w:w="2268"/>
          </w:tcPr>
          <w:p>
            <w:pPr>
              <w:spacing w:after="40" w:before="40"/>
            </w:pPr>
            <w:r>
              <w:rPr>
                <w:sz w:val="20"/>
              </w:rPr>
              <w:t>Listing status</w:t>
            </w:r>
          </w:p>
        </w:tc>
        <w:tc>
          <w:tcPr>
            <w:tcW w:type="dxa" w:w="7370"/>
          </w:tcPr>
          <w:p>
            <w:pPr>
              <w:spacing w:after="40" w:before="40"/>
            </w:pPr>
            <w:r>
              <w:rPr>
                <w:sz w:val="20"/>
              </w:rPr>
              <w:t>Active (CityFeet + Showcase); built 1979</w:t>
            </w:r>
          </w:p>
        </w:tc>
      </w:tr>
    </w:tbl>
    <w:p>
      <w:r>
        <w:rPr>
          <w:b/>
        </w:rPr>
        <w:t xml:space="preserve">Assessment. </w:t>
      </w:r>
      <w:r>
        <w:t>Available-now industrial in the Park 10 cluster, but at 9,316 SF it is 4.6x the size target, and no rate or specs are published — the weakest documented candidate. It is retained only because it sits next to the better-documented Park 10 inventory (L06) and could matter if the client reconsiders size for a true expansion campus. Include it in the Park 10 broker conversation, not as a standalone tour.</w:t>
      </w:r>
    </w:p>
    <w:p>
      <w:pPr>
        <w:pStyle w:val="Heading2"/>
      </w:pPr>
      <w:r>
        <w:t>L10 · 11020 Katy Freeway (JLS Real Estate multi-tenant)  (Fit score 2/5)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11020 Katy Fwy, Houston, TX 77024</w:t>
            </w:r>
          </w:p>
        </w:tc>
      </w:tr>
      <w:tr>
        <w:tc>
          <w:tcPr>
            <w:tcW w:type="dxa" w:w="2268"/>
          </w:tcPr>
          <w:p>
            <w:pPr>
              <w:spacing w:after="40" w:before="40"/>
            </w:pPr>
            <w:r>
              <w:rPr>
                <w:sz w:val="20"/>
              </w:rPr>
              <w:t>Submarket</w:t>
            </w:r>
          </w:p>
        </w:tc>
        <w:tc>
          <w:tcPr>
            <w:tcW w:type="dxa" w:w="7370"/>
          </w:tcPr>
          <w:p>
            <w:pPr>
              <w:spacing w:after="40" w:before="40"/>
            </w:pPr>
            <w:r>
              <w:rPr>
                <w:sz w:val="20"/>
              </w:rPr>
              <w:t>Energy Corridor / I-10 near Beltway 8 &amp; CityCentre</w:t>
            </w:r>
          </w:p>
        </w:tc>
      </w:tr>
      <w:tr>
        <w:tc>
          <w:tcPr>
            <w:tcW w:type="dxa" w:w="2268"/>
          </w:tcPr>
          <w:p>
            <w:pPr>
              <w:spacing w:after="40" w:before="40"/>
            </w:pPr>
            <w:r>
              <w:rPr>
                <w:sz w:val="20"/>
              </w:rPr>
              <w:t>Available SF</w:t>
            </w:r>
          </w:p>
        </w:tc>
        <w:tc>
          <w:tcPr>
            <w:tcW w:type="dxa" w:w="7370"/>
          </w:tcPr>
          <w:p>
            <w:pPr>
              <w:spacing w:after="40" w:before="40"/>
            </w:pPr>
            <w:r>
              <w:rPr>
                <w:sz w:val="20"/>
              </w:rPr>
              <w:t>1,430–2,100 SF units (CONFIRMED — bracket the 2,000 SF target)</w:t>
            </w:r>
          </w:p>
        </w:tc>
      </w:tr>
      <w:tr>
        <w:tc>
          <w:tcPr>
            <w:tcW w:type="dxa" w:w="2268"/>
          </w:tcPr>
          <w:p>
            <w:pPr>
              <w:spacing w:after="40" w:before="40"/>
            </w:pPr>
            <w:r>
              <w:rPr>
                <w:sz w:val="20"/>
              </w:rPr>
              <w:t>Asking rent</w:t>
            </w:r>
          </w:p>
        </w:tc>
        <w:tc>
          <w:tcPr>
            <w:tcW w:type="dxa" w:w="7370"/>
          </w:tcPr>
          <w:p>
            <w:pPr>
              <w:spacing w:after="40" w:before="40"/>
            </w:pPr>
            <w:r>
              <w:rPr>
                <w:sz w:val="20"/>
              </w:rPr>
              <w:t>Quoted upon request — contact broker for pricing</w:t>
            </w:r>
          </w:p>
        </w:tc>
      </w:tr>
      <w:tr>
        <w:tc>
          <w:tcPr>
            <w:tcW w:type="dxa" w:w="2268"/>
          </w:tcPr>
          <w:p>
            <w:pPr>
              <w:spacing w:after="40" w:before="40"/>
            </w:pPr>
            <w:r>
              <w:rPr>
                <w:sz w:val="20"/>
              </w:rPr>
              <w:t>Availability</w:t>
            </w:r>
          </w:p>
        </w:tc>
        <w:tc>
          <w:tcPr>
            <w:tcW w:type="dxa" w:w="7370"/>
          </w:tcPr>
          <w:p>
            <w:pPr>
              <w:spacing w:after="40" w:before="40"/>
            </w:pPr>
            <w:r>
              <w:rPr>
                <w:sz w:val="20"/>
              </w:rPr>
              <w:t>UNKNOWN — active listing on the JLS site (Oct 2026); no availability date published</w:t>
            </w:r>
          </w:p>
        </w:tc>
      </w:tr>
      <w:tr>
        <w:tc>
          <w:tcPr>
            <w:tcW w:type="dxa" w:w="2268"/>
          </w:tcPr>
          <w:p>
            <w:pPr>
              <w:spacing w:after="40" w:before="40"/>
            </w:pPr>
            <w:r>
              <w:rPr>
                <w:sz w:val="20"/>
              </w:rPr>
              <w:t>Term offered</w:t>
            </w:r>
          </w:p>
        </w:tc>
        <w:tc>
          <w:tcPr>
            <w:tcW w:type="dxa" w:w="7370"/>
          </w:tcPr>
          <w:p>
            <w:pPr>
              <w:spacing w:after="40" w:before="40"/>
            </w:pPr>
            <w:r>
              <w:rPr>
                <w:sz w:val="20"/>
              </w:rPr>
              <w:t>Unknown</w:t>
            </w:r>
          </w:p>
        </w:tc>
      </w:tr>
      <w:tr>
        <w:tc>
          <w:tcPr>
            <w:tcW w:type="dxa" w:w="2268"/>
          </w:tcPr>
          <w:p>
            <w:pPr>
              <w:spacing w:after="40" w:before="40"/>
            </w:pPr>
            <w:r>
              <w:rPr>
                <w:sz w:val="20"/>
              </w:rPr>
              <w:t>Loading</w:t>
            </w:r>
          </w:p>
        </w:tc>
        <w:tc>
          <w:tcPr>
            <w:tcW w:type="dxa" w:w="7370"/>
          </w:tcPr>
          <w:p>
            <w:pPr>
              <w:spacing w:after="40" w:before="40"/>
            </w:pPr>
            <w:r>
              <w:rPr>
                <w:sz w:val="20"/>
              </w:rPr>
              <w:t>Unknown — multi-tenant office/industrial/retail property</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Unknown</w:t>
            </w:r>
          </w:p>
        </w:tc>
      </w:tr>
      <w:tr>
        <w:tc>
          <w:tcPr>
            <w:tcW w:type="dxa" w:w="2268"/>
          </w:tcPr>
          <w:p>
            <w:pPr>
              <w:spacing w:after="40" w:before="40"/>
            </w:pPr>
            <w:r>
              <w:rPr>
                <w:sz w:val="20"/>
              </w:rPr>
              <w:t>Expansion / ROFR</w:t>
            </w:r>
          </w:p>
        </w:tc>
        <w:tc>
          <w:tcPr>
            <w:tcW w:type="dxa" w:w="7370"/>
          </w:tcPr>
          <w:p>
            <w:pPr>
              <w:spacing w:after="40" w:before="40"/>
            </w:pPr>
            <w:r>
              <w:rPr>
                <w:sz w:val="20"/>
              </w:rPr>
              <w:t>UNKNOWN — multi-tenant property with several units; some expansion potential within the building; ROFR unknown</w:t>
            </w:r>
          </w:p>
        </w:tc>
      </w:tr>
      <w:tr>
        <w:tc>
          <w:tcPr>
            <w:tcW w:type="dxa" w:w="2268"/>
          </w:tcPr>
          <w:p>
            <w:pPr>
              <w:spacing w:after="40" w:before="40"/>
            </w:pPr>
            <w:r>
              <w:rPr>
                <w:sz w:val="20"/>
              </w:rPr>
              <w:t>Fit score</w:t>
            </w:r>
          </w:p>
        </w:tc>
        <w:tc>
          <w:tcPr>
            <w:tcW w:type="dxa" w:w="7370"/>
          </w:tcPr>
          <w:p>
            <w:pPr>
              <w:spacing w:after="40" w:before="40"/>
            </w:pPr>
            <w:r>
              <w:rPr>
                <w:sz w:val="20"/>
              </w:rPr>
              <w:t>2 of 5</w:t>
            </w:r>
          </w:p>
        </w:tc>
      </w:tr>
      <w:tr>
        <w:tc>
          <w:tcPr>
            <w:tcW w:type="dxa" w:w="2268"/>
          </w:tcPr>
          <w:p>
            <w:pPr>
              <w:spacing w:after="40" w:before="40"/>
            </w:pPr>
            <w:r>
              <w:rPr>
                <w:sz w:val="20"/>
              </w:rPr>
              <w:t>Listing broker</w:t>
            </w:r>
          </w:p>
        </w:tc>
        <w:tc>
          <w:tcPr>
            <w:tcW w:type="dxa" w:w="7370"/>
          </w:tcPr>
          <w:p>
            <w:pPr>
              <w:spacing w:after="40" w:before="40"/>
            </w:pPr>
            <w:r>
              <w:rPr>
                <w:sz w:val="20"/>
              </w:rPr>
              <w:t>JLS Real Estate — 832.436.4249 / info@jlscre.com</w:t>
            </w:r>
          </w:p>
        </w:tc>
      </w:tr>
      <w:tr>
        <w:tc>
          <w:tcPr>
            <w:tcW w:type="dxa" w:w="2268"/>
          </w:tcPr>
          <w:p>
            <w:pPr>
              <w:spacing w:after="40" w:before="40"/>
            </w:pPr>
            <w:r>
              <w:rPr>
                <w:sz w:val="20"/>
              </w:rPr>
              <w:t>Listing status</w:t>
            </w:r>
          </w:p>
        </w:tc>
        <w:tc>
          <w:tcPr>
            <w:tcW w:type="dxa" w:w="7370"/>
          </w:tcPr>
          <w:p>
            <w:pPr>
              <w:spacing w:after="40" w:before="40"/>
            </w:pPr>
            <w:r>
              <w:rPr>
                <w:sz w:val="20"/>
              </w:rPr>
              <w:t>Active (JLS broker site, Oct 2026)</w:t>
            </w:r>
          </w:p>
        </w:tc>
      </w:tr>
    </w:tbl>
    <w:p>
      <w:r>
        <w:rPr>
          <w:b/>
        </w:rPr>
        <w:t xml:space="preserve">Assessment. </w:t>
      </w:r>
      <w:r>
        <w:t>The closest size match in the entire search — units of 1,430–2,100 SF bracket the 2,000 SF requirement exactly — in an irreplaceable I-10 location near Beltway 8 and CityCentre. But it is a mixed office/industrial/retail multi-tenant property with no published power, loading, or lab specifications, and it is unknown whether laboratory use is permitted. One qualification call to JLS decides whether this is a real candidate or a size mirage; schedule it early, because the answer changes the shape of the search.</w:t>
      </w:r>
    </w:p>
    <w:p>
      <w:pPr>
        <w:pStyle w:val="Heading2"/>
      </w:pPr>
      <w:r>
        <w:t>L11 · 16223 Park Row (Techniplex Business Center, Building 1)  (Fit score 2/5)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16223 Park Row, Houston, TX 77084</w:t>
            </w:r>
          </w:p>
        </w:tc>
      </w:tr>
      <w:tr>
        <w:tc>
          <w:tcPr>
            <w:tcW w:type="dxa" w:w="2268"/>
          </w:tcPr>
          <w:p>
            <w:pPr>
              <w:spacing w:after="40" w:before="40"/>
            </w:pPr>
            <w:r>
              <w:rPr>
                <w:sz w:val="20"/>
              </w:rPr>
              <w:t>Submarket</w:t>
            </w:r>
          </w:p>
        </w:tc>
        <w:tc>
          <w:tcPr>
            <w:tcW w:type="dxa" w:w="7370"/>
          </w:tcPr>
          <w:p>
            <w:pPr>
              <w:spacing w:after="40" w:before="40"/>
            </w:pPr>
            <w:r>
              <w:rPr>
                <w:sz w:val="20"/>
              </w:rPr>
              <w:t>Energy Corridor / Techniplex Business Center</w:t>
            </w:r>
          </w:p>
        </w:tc>
      </w:tr>
      <w:tr>
        <w:tc>
          <w:tcPr>
            <w:tcW w:type="dxa" w:w="2268"/>
          </w:tcPr>
          <w:p>
            <w:pPr>
              <w:spacing w:after="40" w:before="40"/>
            </w:pPr>
            <w:r>
              <w:rPr>
                <w:sz w:val="20"/>
              </w:rPr>
              <w:t>Available SF</w:t>
            </w:r>
          </w:p>
        </w:tc>
        <w:tc>
          <w:tcPr>
            <w:tcW w:type="dxa" w:w="7370"/>
          </w:tcPr>
          <w:p>
            <w:pPr>
              <w:spacing w:after="40" w:before="40"/>
            </w:pPr>
            <w:r>
              <w:rPr>
                <w:sz w:val="20"/>
              </w:rPr>
              <w:t>4,152 (KNOWN — 2x target)</w:t>
            </w:r>
          </w:p>
        </w:tc>
      </w:tr>
      <w:tr>
        <w:tc>
          <w:tcPr>
            <w:tcW w:type="dxa" w:w="2268"/>
          </w:tcPr>
          <w:p>
            <w:pPr>
              <w:spacing w:after="40" w:before="40"/>
            </w:pPr>
            <w:r>
              <w:rPr>
                <w:sz w:val="20"/>
              </w:rPr>
              <w:t>Asking rent</w:t>
            </w:r>
          </w:p>
        </w:tc>
        <w:tc>
          <w:tcPr>
            <w:tcW w:type="dxa" w:w="7370"/>
          </w:tcPr>
          <w:p>
            <w:pPr>
              <w:spacing w:after="40" w:before="40"/>
            </w:pPr>
            <w:r>
              <w:rPr>
                <w:sz w:val="20"/>
              </w:rPr>
              <w:t>Quoted upon request / negotiable</w:t>
            </w:r>
          </w:p>
        </w:tc>
      </w:tr>
      <w:tr>
        <w:tc>
          <w:tcPr>
            <w:tcW w:type="dxa" w:w="2268"/>
          </w:tcPr>
          <w:p>
            <w:pPr>
              <w:spacing w:after="40" w:before="40"/>
            </w:pPr>
            <w:r>
              <w:rPr>
                <w:sz w:val="20"/>
              </w:rPr>
              <w:t>Availability</w:t>
            </w:r>
          </w:p>
        </w:tc>
        <w:tc>
          <w:tcPr>
            <w:tcW w:type="dxa" w:w="7370"/>
          </w:tcPr>
          <w:p>
            <w:pPr>
              <w:spacing w:after="40" w:before="40"/>
            </w:pPr>
            <w:r>
              <w:rPr>
                <w:sz w:val="20"/>
              </w:rPr>
              <w:t>PARTIAL — listed available now (CityFeet/Showcase)</w:t>
            </w:r>
          </w:p>
        </w:tc>
      </w:tr>
      <w:tr>
        <w:tc>
          <w:tcPr>
            <w:tcW w:type="dxa" w:w="2268"/>
          </w:tcPr>
          <w:p>
            <w:pPr>
              <w:spacing w:after="40" w:before="40"/>
            </w:pPr>
            <w:r>
              <w:rPr>
                <w:sz w:val="20"/>
              </w:rPr>
              <w:t>Term offered</w:t>
            </w:r>
          </w:p>
        </w:tc>
        <w:tc>
          <w:tcPr>
            <w:tcW w:type="dxa" w:w="7370"/>
          </w:tcPr>
          <w:p>
            <w:pPr>
              <w:spacing w:after="40" w:before="40"/>
            </w:pPr>
            <w:r>
              <w:rPr>
                <w:sz w:val="20"/>
              </w:rPr>
              <w:t>Unknown</w:t>
            </w:r>
          </w:p>
        </w:tc>
      </w:tr>
      <w:tr>
        <w:tc>
          <w:tcPr>
            <w:tcW w:type="dxa" w:w="2268"/>
          </w:tcPr>
          <w:p>
            <w:pPr>
              <w:spacing w:after="40" w:before="40"/>
            </w:pPr>
            <w:r>
              <w:rPr>
                <w:sz w:val="20"/>
              </w:rPr>
              <w:t>Loading</w:t>
            </w:r>
          </w:p>
        </w:tc>
        <w:tc>
          <w:tcPr>
            <w:tcW w:type="dxa" w:w="7370"/>
          </w:tcPr>
          <w:p>
            <w:pPr>
              <w:spacing w:after="40" w:before="40"/>
            </w:pPr>
            <w:r>
              <w:rPr>
                <w:sz w:val="20"/>
              </w:rPr>
              <w:t>PARTIAL — Techniplex buildings marketed with rear-load and grade-level loading; suite specifics unknown</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Same complex as 16203 Park Row (141 spaces on site); suite allocation unknown</w:t>
            </w:r>
          </w:p>
        </w:tc>
      </w:tr>
      <w:tr>
        <w:tc>
          <w:tcPr>
            <w:tcW w:type="dxa" w:w="2268"/>
          </w:tcPr>
          <w:p>
            <w:pPr>
              <w:spacing w:after="40" w:before="40"/>
            </w:pPr>
            <w:r>
              <w:rPr>
                <w:sz w:val="20"/>
              </w:rPr>
              <w:t>Expansion / ROFR</w:t>
            </w:r>
          </w:p>
        </w:tc>
        <w:tc>
          <w:tcPr>
            <w:tcW w:type="dxa" w:w="7370"/>
          </w:tcPr>
          <w:p>
            <w:pPr>
              <w:spacing w:after="40" w:before="40"/>
            </w:pPr>
            <w:r>
              <w:rPr>
                <w:sz w:val="20"/>
              </w:rPr>
              <w:t>PARTIAL — same Techniplex campus as the L03 lab suite; combined campus expansion credible; ROFR unknown</w:t>
            </w:r>
          </w:p>
        </w:tc>
      </w:tr>
      <w:tr>
        <w:tc>
          <w:tcPr>
            <w:tcW w:type="dxa" w:w="2268"/>
          </w:tcPr>
          <w:p>
            <w:pPr>
              <w:spacing w:after="40" w:before="40"/>
            </w:pPr>
            <w:r>
              <w:rPr>
                <w:sz w:val="20"/>
              </w:rPr>
              <w:t>Fit score</w:t>
            </w:r>
          </w:p>
        </w:tc>
        <w:tc>
          <w:tcPr>
            <w:tcW w:type="dxa" w:w="7370"/>
          </w:tcPr>
          <w:p>
            <w:pPr>
              <w:spacing w:after="40" w:before="40"/>
            </w:pPr>
            <w:r>
              <w:rPr>
                <w:sz w:val="20"/>
              </w:rPr>
              <w:t>2 of 5</w:t>
            </w:r>
          </w:p>
        </w:tc>
      </w:tr>
      <w:tr>
        <w:tc>
          <w:tcPr>
            <w:tcW w:type="dxa" w:w="2268"/>
          </w:tcPr>
          <w:p>
            <w:pPr>
              <w:spacing w:after="40" w:before="40"/>
            </w:pPr>
            <w:r>
              <w:rPr>
                <w:sz w:val="20"/>
              </w:rPr>
              <w:t>Listing broker</w:t>
            </w:r>
          </w:p>
        </w:tc>
        <w:tc>
          <w:tcPr>
            <w:tcW w:type="dxa" w:w="7370"/>
          </w:tcPr>
          <w:p>
            <w:pPr>
              <w:spacing w:after="40" w:before="40"/>
            </w:pPr>
            <w:r>
              <w:rPr>
                <w:sz w:val="20"/>
              </w:rPr>
              <w:t>Clark Gaines Properties (HAR listing)</w:t>
            </w:r>
          </w:p>
        </w:tc>
      </w:tr>
      <w:tr>
        <w:tc>
          <w:tcPr>
            <w:tcW w:type="dxa" w:w="2268"/>
          </w:tcPr>
          <w:p>
            <w:pPr>
              <w:spacing w:after="40" w:before="40"/>
            </w:pPr>
            <w:r>
              <w:rPr>
                <w:sz w:val="20"/>
              </w:rPr>
              <w:t>Listing status</w:t>
            </w:r>
          </w:p>
        </w:tc>
        <w:tc>
          <w:tcPr>
            <w:tcW w:type="dxa" w:w="7370"/>
          </w:tcPr>
          <w:p>
            <w:pPr>
              <w:spacing w:after="40" w:before="40"/>
            </w:pPr>
            <w:r>
              <w:rPr>
                <w:sz w:val="20"/>
              </w:rPr>
              <w:t>Active (CityFeet + HAR + Showcase)</w:t>
            </w:r>
          </w:p>
        </w:tc>
      </w:tr>
    </w:tbl>
    <w:p>
      <w:r>
        <w:rPr>
          <w:b/>
        </w:rPr>
        <w:t xml:space="preserve">Assessment. </w:t>
      </w:r>
      <w:r>
        <w:t>Worth pairing with L03 in a single Techniplex campus tour — 4,152 SF on the same campus as the available-now lab suite, which makes a combined lab-plus-office or lab-plus-expansion play credible. Beyond adjacency and the shared 141-space parking complex, specs and rate are unpublished, and at double the size target it is unlikely to lead. Keep it in the Stream Realty / Clark Gaines conversation as a campus option.</w:t>
      </w:r>
    </w:p>
    <w:p>
      <w:pPr>
        <w:pStyle w:val="Heading2"/>
      </w:pPr>
      <w:r>
        <w:t>L12 · 9655 Katy Fwy (industrial park flex)  (Fit score 2/5)</w:t>
      </w:r>
    </w:p>
    <w:tbl>
      <w:tblPr>
        <w:tblStyle w:val="LightGrid-Accent1"/>
        <w:tblW w:type="auto" w:w="0"/>
        <w:tblLayout w:type="fixed"/>
        <w:tblLook w:firstColumn="1" w:firstRow="1" w:lastColumn="0" w:lastRow="0" w:noHBand="0" w:noVBand="1" w:val="04A0"/>
      </w:tblPr>
      <w:tblGrid>
        <w:gridCol w:w="4986"/>
        <w:gridCol w:w="4986"/>
      </w:tblGrid>
      <w:tr>
        <w:trPr>
          <w:tblHeader w:val="true"/>
        </w:trPr>
        <w:tc>
          <w:tcPr>
            <w:tcW w:type="dxa" w:w="2268"/>
          </w:tcPr>
          <w:p>
            <w:pPr>
              <w:spacing w:after="40" w:before="40"/>
            </w:pPr>
            <w:r>
              <w:rPr>
                <w:b/>
                <w:sz w:val="20"/>
              </w:rPr>
              <w:t>Property fact</w:t>
            </w:r>
          </w:p>
        </w:tc>
        <w:tc>
          <w:tcPr>
            <w:tcW w:type="dxa" w:w="7370"/>
          </w:tcPr>
          <w:p>
            <w:pPr>
              <w:spacing w:after="40" w:before="40"/>
            </w:pPr>
            <w:r>
              <w:rPr>
                <w:b/>
                <w:sz w:val="20"/>
              </w:rPr>
              <w:t>Detail</w:t>
            </w:r>
          </w:p>
        </w:tc>
      </w:tr>
      <w:tr>
        <w:tc>
          <w:tcPr>
            <w:tcW w:type="dxa" w:w="2268"/>
          </w:tcPr>
          <w:p>
            <w:pPr>
              <w:spacing w:after="40" w:before="40"/>
            </w:pPr>
            <w:r>
              <w:rPr>
                <w:sz w:val="20"/>
              </w:rPr>
              <w:t>Address</w:t>
            </w:r>
          </w:p>
        </w:tc>
        <w:tc>
          <w:tcPr>
            <w:tcW w:type="dxa" w:w="7370"/>
          </w:tcPr>
          <w:p>
            <w:pPr>
              <w:spacing w:after="40" w:before="40"/>
            </w:pPr>
            <w:r>
              <w:rPr>
                <w:sz w:val="20"/>
              </w:rPr>
              <w:t>9655 Katy Fwy, Houston, TX 77024</w:t>
            </w:r>
          </w:p>
        </w:tc>
      </w:tr>
      <w:tr>
        <w:tc>
          <w:tcPr>
            <w:tcW w:type="dxa" w:w="2268"/>
          </w:tcPr>
          <w:p>
            <w:pPr>
              <w:spacing w:after="40" w:before="40"/>
            </w:pPr>
            <w:r>
              <w:rPr>
                <w:sz w:val="20"/>
              </w:rPr>
              <w:t>Submarket</w:t>
            </w:r>
          </w:p>
        </w:tc>
        <w:tc>
          <w:tcPr>
            <w:tcW w:type="dxa" w:w="7370"/>
          </w:tcPr>
          <w:p>
            <w:pPr>
              <w:spacing w:after="40" w:before="40"/>
            </w:pPr>
            <w:r>
              <w:rPr>
                <w:sz w:val="20"/>
              </w:rPr>
              <w:t>Energy Corridor / Katy Fwy (west Houston, 77024)</w:t>
            </w:r>
          </w:p>
        </w:tc>
      </w:tr>
      <w:tr>
        <w:tc>
          <w:tcPr>
            <w:tcW w:type="dxa" w:w="2268"/>
          </w:tcPr>
          <w:p>
            <w:pPr>
              <w:spacing w:after="40" w:before="40"/>
            </w:pPr>
            <w:r>
              <w:rPr>
                <w:sz w:val="20"/>
              </w:rPr>
              <w:t>Available SF</w:t>
            </w:r>
          </w:p>
        </w:tc>
        <w:tc>
          <w:tcPr>
            <w:tcW w:type="dxa" w:w="7370"/>
          </w:tcPr>
          <w:p>
            <w:pPr>
              <w:spacing w:after="40" w:before="40"/>
            </w:pPr>
            <w:r>
              <w:rPr>
                <w:sz w:val="20"/>
              </w:rPr>
              <w:t>1,173 (KNOWN — ~900 SF under target)</w:t>
            </w:r>
          </w:p>
        </w:tc>
      </w:tr>
      <w:tr>
        <w:tc>
          <w:tcPr>
            <w:tcW w:type="dxa" w:w="2268"/>
          </w:tcPr>
          <w:p>
            <w:pPr>
              <w:spacing w:after="40" w:before="40"/>
            </w:pPr>
            <w:r>
              <w:rPr>
                <w:sz w:val="20"/>
              </w:rPr>
              <w:t>Asking rent</w:t>
            </w:r>
          </w:p>
        </w:tc>
        <w:tc>
          <w:tcPr>
            <w:tcW w:type="dxa" w:w="7370"/>
          </w:tcPr>
          <w:p>
            <w:pPr>
              <w:spacing w:after="40" w:before="40"/>
            </w:pPr>
            <w:r>
              <w:rPr>
                <w:sz w:val="20"/>
              </w:rPr>
              <w:t>CONFIRMED — $6,354/mo = $5.42/SF/mo ≈ $65/SF/yr (Showcase)</w:t>
            </w:r>
          </w:p>
        </w:tc>
      </w:tr>
      <w:tr>
        <w:tc>
          <w:tcPr>
            <w:tcW w:type="dxa" w:w="2268"/>
          </w:tcPr>
          <w:p>
            <w:pPr>
              <w:spacing w:after="40" w:before="40"/>
            </w:pPr>
            <w:r>
              <w:rPr>
                <w:sz w:val="20"/>
              </w:rPr>
              <w:t>Availability</w:t>
            </w:r>
          </w:p>
        </w:tc>
        <w:tc>
          <w:tcPr>
            <w:tcW w:type="dxa" w:w="7370"/>
          </w:tcPr>
          <w:p>
            <w:pPr>
              <w:spacing w:after="40" w:before="40"/>
            </w:pPr>
            <w:r>
              <w:rPr>
                <w:sz w:val="20"/>
              </w:rPr>
              <w:t>UNKNOWN from listing (Showcase active)</w:t>
            </w:r>
          </w:p>
        </w:tc>
      </w:tr>
      <w:tr>
        <w:tc>
          <w:tcPr>
            <w:tcW w:type="dxa" w:w="2268"/>
          </w:tcPr>
          <w:p>
            <w:pPr>
              <w:spacing w:after="40" w:before="40"/>
            </w:pPr>
            <w:r>
              <w:rPr>
                <w:sz w:val="20"/>
              </w:rPr>
              <w:t>Term offered</w:t>
            </w:r>
          </w:p>
        </w:tc>
        <w:tc>
          <w:tcPr>
            <w:tcW w:type="dxa" w:w="7370"/>
          </w:tcPr>
          <w:p>
            <w:pPr>
              <w:spacing w:after="40" w:before="40"/>
            </w:pPr>
            <w:r>
              <w:rPr>
                <w:sz w:val="20"/>
              </w:rPr>
              <w:t>Unknown</w:t>
            </w:r>
          </w:p>
        </w:tc>
      </w:tr>
      <w:tr>
        <w:tc>
          <w:tcPr>
            <w:tcW w:type="dxa" w:w="2268"/>
          </w:tcPr>
          <w:p>
            <w:pPr>
              <w:spacing w:after="40" w:before="40"/>
            </w:pPr>
            <w:r>
              <w:rPr>
                <w:sz w:val="20"/>
              </w:rPr>
              <w:t>Loading</w:t>
            </w:r>
          </w:p>
        </w:tc>
        <w:tc>
          <w:tcPr>
            <w:tcW w:type="dxa" w:w="7370"/>
          </w:tcPr>
          <w:p>
            <w:pPr>
              <w:spacing w:after="40" w:before="40"/>
            </w:pPr>
            <w:r>
              <w:rPr>
                <w:sz w:val="20"/>
              </w:rPr>
              <w:t>Unknown</w:t>
            </w:r>
          </w:p>
        </w:tc>
      </w:tr>
      <w:tr>
        <w:tc>
          <w:tcPr>
            <w:tcW w:type="dxa" w:w="2268"/>
          </w:tcPr>
          <w:p>
            <w:pPr>
              <w:spacing w:after="40" w:before="40"/>
            </w:pPr>
            <w:r>
              <w:rPr>
                <w:sz w:val="20"/>
              </w:rPr>
              <w:t>Power</w:t>
            </w:r>
          </w:p>
        </w:tc>
        <w:tc>
          <w:tcPr>
            <w:tcW w:type="dxa" w:w="7370"/>
          </w:tcPr>
          <w:p>
            <w:pPr>
              <w:spacing w:after="40" w:before="40"/>
            </w:pPr>
            <w:r>
              <w:rPr>
                <w:sz w:val="20"/>
              </w:rPr>
              <w:t>Unknown</w:t>
            </w:r>
          </w:p>
        </w:tc>
      </w:tr>
      <w:tr>
        <w:tc>
          <w:tcPr>
            <w:tcW w:type="dxa" w:w="2268"/>
          </w:tcPr>
          <w:p>
            <w:pPr>
              <w:spacing w:after="40" w:before="40"/>
            </w:pPr>
            <w:r>
              <w:rPr>
                <w:sz w:val="20"/>
              </w:rPr>
              <w:t>HVAC</w:t>
            </w:r>
          </w:p>
        </w:tc>
        <w:tc>
          <w:tcPr>
            <w:tcW w:type="dxa" w:w="7370"/>
          </w:tcPr>
          <w:p>
            <w:pPr>
              <w:spacing w:after="40" w:before="40"/>
            </w:pPr>
            <w:r>
              <w:rPr>
                <w:sz w:val="20"/>
              </w:rPr>
              <w:t>Unknown</w:t>
            </w:r>
          </w:p>
        </w:tc>
      </w:tr>
      <w:tr>
        <w:tc>
          <w:tcPr>
            <w:tcW w:type="dxa" w:w="2268"/>
          </w:tcPr>
          <w:p>
            <w:pPr>
              <w:spacing w:after="40" w:before="40"/>
            </w:pPr>
            <w:r>
              <w:rPr>
                <w:sz w:val="20"/>
              </w:rPr>
              <w:t>Parking</w:t>
            </w:r>
          </w:p>
        </w:tc>
        <w:tc>
          <w:tcPr>
            <w:tcW w:type="dxa" w:w="7370"/>
          </w:tcPr>
          <w:p>
            <w:pPr>
              <w:spacing w:after="40" w:before="40"/>
            </w:pPr>
            <w:r>
              <w:rPr>
                <w:sz w:val="20"/>
              </w:rPr>
              <w:t>Unknown</w:t>
            </w:r>
          </w:p>
        </w:tc>
      </w:tr>
      <w:tr>
        <w:tc>
          <w:tcPr>
            <w:tcW w:type="dxa" w:w="2268"/>
          </w:tcPr>
          <w:p>
            <w:pPr>
              <w:spacing w:after="40" w:before="40"/>
            </w:pPr>
            <w:r>
              <w:rPr>
                <w:sz w:val="20"/>
              </w:rPr>
              <w:t>Expansion / ROFR</w:t>
            </w:r>
          </w:p>
        </w:tc>
        <w:tc>
          <w:tcPr>
            <w:tcW w:type="dxa" w:w="7370"/>
          </w:tcPr>
          <w:p>
            <w:pPr>
              <w:spacing w:after="40" w:before="40"/>
            </w:pPr>
            <w:r>
              <w:rPr>
                <w:sz w:val="20"/>
              </w:rPr>
              <w:t>Unknown</w:t>
            </w:r>
          </w:p>
        </w:tc>
      </w:tr>
      <w:tr>
        <w:tc>
          <w:tcPr>
            <w:tcW w:type="dxa" w:w="2268"/>
          </w:tcPr>
          <w:p>
            <w:pPr>
              <w:spacing w:after="40" w:before="40"/>
            </w:pPr>
            <w:r>
              <w:rPr>
                <w:sz w:val="20"/>
              </w:rPr>
              <w:t>Fit score</w:t>
            </w:r>
          </w:p>
        </w:tc>
        <w:tc>
          <w:tcPr>
            <w:tcW w:type="dxa" w:w="7370"/>
          </w:tcPr>
          <w:p>
            <w:pPr>
              <w:spacing w:after="40" w:before="40"/>
            </w:pPr>
            <w:r>
              <w:rPr>
                <w:sz w:val="20"/>
              </w:rPr>
              <w:t>2 of 5</w:t>
            </w:r>
          </w:p>
        </w:tc>
      </w:tr>
      <w:tr>
        <w:tc>
          <w:tcPr>
            <w:tcW w:type="dxa" w:w="2268"/>
          </w:tcPr>
          <w:p>
            <w:pPr>
              <w:spacing w:after="40" w:before="40"/>
            </w:pPr>
            <w:r>
              <w:rPr>
                <w:sz w:val="20"/>
              </w:rPr>
              <w:t>Listing broker</w:t>
            </w:r>
          </w:p>
        </w:tc>
        <w:tc>
          <w:tcPr>
            <w:tcW w:type="dxa" w:w="7370"/>
          </w:tcPr>
          <w:p>
            <w:pPr>
              <w:spacing w:after="40" w:before="40"/>
            </w:pPr>
            <w:r>
              <w:rPr>
                <w:sz w:val="20"/>
              </w:rPr>
              <w:t>Stephen Woods, Moody National Realty — 832-731-8142</w:t>
            </w:r>
          </w:p>
        </w:tc>
      </w:tr>
      <w:tr>
        <w:tc>
          <w:tcPr>
            <w:tcW w:type="dxa" w:w="2268"/>
          </w:tcPr>
          <w:p>
            <w:pPr>
              <w:spacing w:after="40" w:before="40"/>
            </w:pPr>
            <w:r>
              <w:rPr>
                <w:sz w:val="20"/>
              </w:rPr>
              <w:t>Listing status</w:t>
            </w:r>
          </w:p>
        </w:tc>
        <w:tc>
          <w:tcPr>
            <w:tcW w:type="dxa" w:w="7370"/>
          </w:tcPr>
          <w:p>
            <w:pPr>
              <w:spacing w:after="40" w:before="40"/>
            </w:pPr>
            <w:r>
              <w:rPr>
                <w:sz w:val="20"/>
              </w:rPr>
              <w:t>Active (Showcase)</w:t>
            </w:r>
          </w:p>
        </w:tc>
      </w:tr>
    </w:tbl>
    <w:p>
      <w:r>
        <w:rPr>
          <w:b/>
        </w:rPr>
        <w:t xml:space="preserve">Assessment. </w:t>
      </w:r>
      <w:r>
        <w:t>Included as a rate data point rather than a primary candidate: at ~$65/SF/yr it is the only Energy Corridor listing priced in the client's stated gross range, which confirms that the budget aligns with premium-per-foot small space rather than standard industrial. At 1,173 SF it is roughly 900 SF short of target, and no specs are published. Treat it as calibration for what the $10–15k band buys per square foot in this submarket — and as evidence that budget headroom, not budget, is the client's negotiating position elsewhere.</w:t>
      </w:r>
    </w:p>
    <w:p>
      <w:r>
        <w:br w:type="page"/>
      </w:r>
    </w:p>
    <w:p>
      <w:pPr>
        <w:pStyle w:val="Heading1"/>
      </w:pPr>
      <w:r>
        <w:t>5. Comparison Table — All Candidates vs. Requirement Checklist</w:t>
      </w:r>
    </w:p>
    <w:p>
      <w:r>
        <w:rPr>
          <w:b/>
        </w:rPr>
        <w:t xml:space="preserve">Legend: </w:t>
      </w:r>
      <w:r>
        <w:t>✓ = confirmed match with the requirement;  ~ = partial match or significant caveat;  ? = unknown / not published by the listing source.  Status reproduced from the listing research; nothing is inferred.</w:t>
      </w:r>
    </w:p>
    <w:p>
      <w:pPr>
        <w:pStyle w:val="Heading2"/>
      </w:pPr>
      <w:r>
        <w:t>Business requirements</w:t>
      </w:r>
    </w:p>
    <w:tbl>
      <w:tblPr>
        <w:tblStyle w:val="MediumShading1-Accent1"/>
        <w:tblW w:type="auto" w:w="0"/>
        <w:tblLayout w:type="fixed"/>
        <w:tblLook w:firstColumn="1" w:firstRow="1" w:lastColumn="0" w:lastRow="0" w:noHBand="0" w:noVBand="1" w:val="04A0"/>
      </w:tblPr>
      <w:tblGrid>
        <w:gridCol w:w="1425"/>
        <w:gridCol w:w="1425"/>
        <w:gridCol w:w="1425"/>
        <w:gridCol w:w="1425"/>
        <w:gridCol w:w="1425"/>
        <w:gridCol w:w="1425"/>
        <w:gridCol w:w="1425"/>
      </w:tblGrid>
      <w:tr>
        <w:trPr>
          <w:tblHeader w:val="true"/>
        </w:trPr>
        <w:tc>
          <w:tcPr>
            <w:tcW w:type="dxa" w:w="2268"/>
          </w:tcPr>
          <w:p>
            <w:pPr>
              <w:spacing w:after="40" w:before="40"/>
            </w:pPr>
            <w:r>
              <w:rPr>
                <w:b/>
                <w:sz w:val="18"/>
              </w:rPr>
              <w:t>Candidate</w:t>
            </w:r>
          </w:p>
        </w:tc>
        <w:tc>
          <w:tcPr>
            <w:tcW w:type="dxa" w:w="1247"/>
          </w:tcPr>
          <w:p>
            <w:pPr>
              <w:spacing w:after="40" w:before="40"/>
            </w:pPr>
            <w:r>
              <w:rPr>
                <w:b/>
                <w:sz w:val="18"/>
              </w:rPr>
              <w:t>Size (~2,000 SF)</w:t>
            </w:r>
          </w:p>
        </w:tc>
        <w:tc>
          <w:tcPr>
            <w:tcW w:type="dxa" w:w="1134"/>
          </w:tcPr>
          <w:p>
            <w:pPr>
              <w:spacing w:after="40" w:before="40"/>
            </w:pPr>
            <w:r>
              <w:rPr>
                <w:b/>
                <w:sz w:val="18"/>
              </w:rPr>
              <w:t>Location (≤20 mi)</w:t>
            </w:r>
          </w:p>
        </w:tc>
        <w:tc>
          <w:tcPr>
            <w:tcW w:type="dxa" w:w="1361"/>
          </w:tcPr>
          <w:p>
            <w:pPr>
              <w:spacing w:after="40" w:before="40"/>
            </w:pPr>
            <w:r>
              <w:rPr>
                <w:b/>
                <w:sz w:val="18"/>
              </w:rPr>
              <w:t>Budget ($10–15k/mo)</w:t>
            </w:r>
          </w:p>
        </w:tc>
        <w:tc>
          <w:tcPr>
            <w:tcW w:type="dxa" w:w="1474"/>
          </w:tcPr>
          <w:p>
            <w:pPr>
              <w:spacing w:after="40" w:before="40"/>
            </w:pPr>
            <w:r>
              <w:rPr>
                <w:b/>
                <w:sz w:val="18"/>
              </w:rPr>
              <w:t>Availability (immediate)</w:t>
            </w:r>
          </w:p>
        </w:tc>
        <w:tc>
          <w:tcPr>
            <w:tcW w:type="dxa" w:w="1020"/>
          </w:tcPr>
          <w:p>
            <w:pPr>
              <w:spacing w:after="40" w:before="40"/>
            </w:pPr>
            <w:r>
              <w:rPr>
                <w:b/>
                <w:sz w:val="18"/>
              </w:rPr>
              <w:t>Term (3–5 yr)</w:t>
            </w:r>
          </w:p>
        </w:tc>
        <w:tc>
          <w:tcPr>
            <w:tcW w:type="dxa" w:w="1134"/>
          </w:tcPr>
          <w:p>
            <w:pPr>
              <w:spacing w:after="40" w:before="40"/>
            </w:pPr>
            <w:r>
              <w:rPr>
                <w:b/>
                <w:sz w:val="18"/>
              </w:rPr>
              <w:t>Expansion / ROFR</w:t>
            </w:r>
          </w:p>
        </w:tc>
      </w:tr>
      <w:tr>
        <w:tc>
          <w:tcPr>
            <w:tcW w:type="dxa" w:w="2268"/>
          </w:tcPr>
          <w:p>
            <w:pPr>
              <w:spacing w:after="40" w:before="40"/>
            </w:pPr>
            <w:r>
              <w:rPr>
                <w:sz w:val="18"/>
              </w:rPr>
              <w:t>L01 Technipark Ten Ste 190</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L02 Technipark Ten 16115 (lab)</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L03 Techniplex Ste 100</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L04 Park Ten Ste 200</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L05 Goar Rd Ste 12664</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L06 Park 10 Barker Springs</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L07 Crescent 10 Langham Creek</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L08 Westgate 19407 Park Row</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L09 16802 Barker Springs</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L10 JLS 11020 Katy Fwy</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L11 Techniplex 16223 Park Row</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r>
        <w:tc>
          <w:tcPr>
            <w:tcW w:type="dxa" w:w="2268"/>
          </w:tcPr>
          <w:p>
            <w:pPr>
              <w:spacing w:after="40" w:before="40"/>
            </w:pPr>
            <w:r>
              <w:rPr>
                <w:sz w:val="18"/>
              </w:rPr>
              <w:t>L12 9655 Katy Fwy</w:t>
            </w:r>
          </w:p>
        </w:tc>
        <w:tc>
          <w:tcPr>
            <w:tcW w:type="dxa" w:w="124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474"/>
          </w:tcPr>
          <w:p>
            <w:pPr>
              <w:spacing w:after="40" w:before="40"/>
            </w:pPr>
            <w:r>
              <w:rPr>
                <w:sz w:val="18"/>
              </w:rPr>
              <w:t>?</w:t>
            </w:r>
          </w:p>
        </w:tc>
        <w:tc>
          <w:tcPr>
            <w:tcW w:type="dxa" w:w="1020"/>
          </w:tcPr>
          <w:p>
            <w:pPr>
              <w:spacing w:after="40" w:before="40"/>
            </w:pPr>
            <w:r>
              <w:rPr>
                <w:sz w:val="18"/>
              </w:rPr>
              <w:t>?</w:t>
            </w:r>
          </w:p>
        </w:tc>
        <w:tc>
          <w:tcPr>
            <w:tcW w:type="dxa" w:w="1134"/>
          </w:tcPr>
          <w:p>
            <w:pPr>
              <w:spacing w:after="40" w:before="40"/>
            </w:pPr>
            <w:r>
              <w:rPr>
                <w:sz w:val="18"/>
              </w:rPr>
              <w:t>?</w:t>
            </w:r>
          </w:p>
        </w:tc>
      </w:tr>
    </w:tbl>
    <w:p>
      <w:pPr>
        <w:pStyle w:val="Heading2"/>
      </w:pPr>
      <w:r>
        <w:t>Technical infrastructure</w:t>
      </w:r>
    </w:p>
    <w:tbl>
      <w:tblPr>
        <w:tblStyle w:val="MediumShading1-Accent1"/>
        <w:tblW w:type="auto" w:w="0"/>
        <w:tblLayout w:type="fixed"/>
        <w:tblLook w:firstColumn="1" w:firstRow="1" w:lastColumn="0" w:lastRow="0" w:noHBand="0" w:noVBand="1" w:val="04A0"/>
      </w:tblPr>
      <w:tblGrid>
        <w:gridCol w:w="1246"/>
        <w:gridCol w:w="1246"/>
        <w:gridCol w:w="1246"/>
        <w:gridCol w:w="1246"/>
        <w:gridCol w:w="1246"/>
        <w:gridCol w:w="1246"/>
        <w:gridCol w:w="1246"/>
        <w:gridCol w:w="1246"/>
      </w:tblGrid>
      <w:tr>
        <w:trPr>
          <w:tblHeader w:val="true"/>
        </w:trPr>
        <w:tc>
          <w:tcPr>
            <w:tcW w:type="dxa" w:w="2041"/>
          </w:tcPr>
          <w:p>
            <w:pPr>
              <w:spacing w:after="40" w:before="40"/>
            </w:pPr>
            <w:r>
              <w:rPr>
                <w:b/>
                <w:sz w:val="18"/>
              </w:rPr>
              <w:t>Candidate</w:t>
            </w:r>
          </w:p>
        </w:tc>
        <w:tc>
          <w:tcPr>
            <w:tcW w:type="dxa" w:w="1134"/>
          </w:tcPr>
          <w:p>
            <w:pPr>
              <w:spacing w:after="40" w:before="40"/>
            </w:pPr>
            <w:r>
              <w:rPr>
                <w:b/>
                <w:sz w:val="18"/>
              </w:rPr>
              <w:t>Power (heavy)</w:t>
            </w:r>
          </w:p>
        </w:tc>
        <w:tc>
          <w:tcPr>
            <w:tcW w:type="dxa" w:w="907"/>
          </w:tcPr>
          <w:p>
            <w:pPr>
              <w:spacing w:after="40" w:before="40"/>
            </w:pPr>
            <w:r>
              <w:rPr>
                <w:b/>
                <w:sz w:val="18"/>
              </w:rPr>
              <w:t>Generator</w:t>
            </w:r>
          </w:p>
        </w:tc>
        <w:tc>
          <w:tcPr>
            <w:tcW w:type="dxa" w:w="1134"/>
          </w:tcPr>
          <w:p>
            <w:pPr>
              <w:spacing w:after="40" w:before="40"/>
            </w:pPr>
            <w:r>
              <w:rPr>
                <w:b/>
                <w:sz w:val="18"/>
              </w:rPr>
              <w:t>Lab HVAC</w:t>
            </w:r>
          </w:p>
        </w:tc>
        <w:tc>
          <w:tcPr>
            <w:tcW w:type="dxa" w:w="1361"/>
          </w:tcPr>
          <w:p>
            <w:pPr>
              <w:spacing w:after="40" w:before="40"/>
            </w:pPr>
            <w:r>
              <w:rPr>
                <w:b/>
                <w:sz w:val="18"/>
              </w:rPr>
              <w:t>Exhaust modifiable</w:t>
            </w:r>
          </w:p>
        </w:tc>
        <w:tc>
          <w:tcPr>
            <w:tcW w:type="dxa" w:w="1361"/>
          </w:tcPr>
          <w:p>
            <w:pPr>
              <w:spacing w:after="40" w:before="40"/>
            </w:pPr>
            <w:r>
              <w:rPr>
                <w:b/>
                <w:sz w:val="18"/>
              </w:rPr>
              <w:t>Loading (dock/grade)</w:t>
            </w:r>
          </w:p>
        </w:tc>
        <w:tc>
          <w:tcPr>
            <w:tcW w:type="dxa" w:w="794"/>
          </w:tcPr>
          <w:p>
            <w:pPr>
              <w:spacing w:after="40" w:before="40"/>
            </w:pPr>
            <w:r>
              <w:rPr>
                <w:b/>
                <w:sz w:val="18"/>
              </w:rPr>
              <w:t>24/7 access</w:t>
            </w:r>
          </w:p>
        </w:tc>
        <w:tc>
          <w:tcPr>
            <w:tcW w:type="dxa" w:w="907"/>
          </w:tcPr>
          <w:p>
            <w:pPr>
              <w:spacing w:after="40" w:before="40"/>
            </w:pPr>
            <w:r>
              <w:rPr>
                <w:b/>
                <w:sz w:val="18"/>
              </w:rPr>
              <w:t>Parking (high)</w:t>
            </w:r>
          </w:p>
        </w:tc>
      </w:tr>
      <w:tr>
        <w:tc>
          <w:tcPr>
            <w:tcW w:type="dxa" w:w="2041"/>
          </w:tcPr>
          <w:p>
            <w:pPr>
              <w:spacing w:after="40" w:before="40"/>
            </w:pPr>
            <w:r>
              <w:rPr>
                <w:sz w:val="18"/>
              </w:rPr>
              <w:t>L01 Technipark Ten Ste 190</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L02 Technipark Ten 16115 (lab)</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L03 Techniplex Ste 100</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L04 Park Ten Ste 200</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L05 Goar Rd Ste 12664</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L06 Park 10 Barker Springs</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L07 Crescent 10 Langham Creek</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L08 Westgate 19407 Park Row</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L09 16802 Barker Springs</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L10 JLS 11020 Katy Fwy</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L11 Techniplex 16223 Park Row</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r>
        <w:tc>
          <w:tcPr>
            <w:tcW w:type="dxa" w:w="2041"/>
          </w:tcPr>
          <w:p>
            <w:pPr>
              <w:spacing w:after="40" w:before="40"/>
            </w:pPr>
            <w:r>
              <w:rPr>
                <w:sz w:val="18"/>
              </w:rPr>
              <w:t>L12 9655 Katy Fwy</w:t>
            </w:r>
          </w:p>
        </w:tc>
        <w:tc>
          <w:tcPr>
            <w:tcW w:type="dxa" w:w="1134"/>
          </w:tcPr>
          <w:p>
            <w:pPr>
              <w:spacing w:after="40" w:before="40"/>
            </w:pPr>
            <w:r>
              <w:rPr>
                <w:sz w:val="18"/>
              </w:rPr>
              <w:t>?</w:t>
            </w:r>
          </w:p>
        </w:tc>
        <w:tc>
          <w:tcPr>
            <w:tcW w:type="dxa" w:w="907"/>
          </w:tcPr>
          <w:p>
            <w:pPr>
              <w:spacing w:after="40" w:before="40"/>
            </w:pPr>
            <w:r>
              <w:rPr>
                <w:sz w:val="18"/>
              </w:rPr>
              <w:t>?</w:t>
            </w:r>
          </w:p>
        </w:tc>
        <w:tc>
          <w:tcPr>
            <w:tcW w:type="dxa" w:w="1134"/>
          </w:tcPr>
          <w:p>
            <w:pPr>
              <w:spacing w:after="40" w:before="40"/>
            </w:pPr>
            <w:r>
              <w:rPr>
                <w:sz w:val="18"/>
              </w:rPr>
              <w:t>?</w:t>
            </w:r>
          </w:p>
        </w:tc>
        <w:tc>
          <w:tcPr>
            <w:tcW w:type="dxa" w:w="1361"/>
          </w:tcPr>
          <w:p>
            <w:pPr>
              <w:spacing w:after="40" w:before="40"/>
            </w:pPr>
            <w:r>
              <w:rPr>
                <w:sz w:val="18"/>
              </w:rPr>
              <w:t>?</w:t>
            </w:r>
          </w:p>
        </w:tc>
        <w:tc>
          <w:tcPr>
            <w:tcW w:type="dxa" w:w="1361"/>
          </w:tcPr>
          <w:p>
            <w:pPr>
              <w:spacing w:after="40" w:before="40"/>
            </w:pPr>
            <w:r>
              <w:rPr>
                <w:sz w:val="18"/>
              </w:rPr>
              <w:t>?</w:t>
            </w:r>
          </w:p>
        </w:tc>
        <w:tc>
          <w:tcPr>
            <w:tcW w:type="dxa" w:w="794"/>
          </w:tcPr>
          <w:p>
            <w:pPr>
              <w:spacing w:after="40" w:before="40"/>
            </w:pPr>
            <w:r>
              <w:rPr>
                <w:sz w:val="18"/>
              </w:rPr>
              <w:t>?</w:t>
            </w:r>
          </w:p>
        </w:tc>
        <w:tc>
          <w:tcPr>
            <w:tcW w:type="dxa" w:w="907"/>
          </w:tcPr>
          <w:p>
            <w:pPr>
              <w:spacing w:after="40" w:before="40"/>
            </w:pPr>
            <w:r>
              <w:rPr>
                <w:sz w:val="18"/>
              </w:rPr>
              <w:t>?</w:t>
            </w:r>
          </w:p>
        </w:tc>
      </w:tr>
    </w:tbl>
    <w:p>
      <w:pPr>
        <w:pStyle w:val="SourceNote"/>
      </w:pPr>
      <w:r>
        <w:t>Read-across: no candidate publishes a confirmed generator; ROFR is unpublished at every listing; term is 'negotiable' or unknown everywhere — nothing precludes 3–5 years, but nothing confirms it. Rates are quoted upon request at 8 of 12 candidates (L01, L02, L03, L04, L06, L07, L10, L11); L09 withholds its rate; only L05 ($11/SF NNN), L08 ($12/SF NNN), and L12 (~$65/SF/yr) publish pricing. Confirmed heavy power exists at only two candidates (L01, L04); confirmed lab components at only two (L02, L03); confirmed 24/7 access at only one (L06).</w:t>
      </w:r>
    </w:p>
    <w:p>
      <w:r>
        <w:br w:type="page"/>
      </w:r>
    </w:p>
    <w:p>
      <w:pPr>
        <w:pStyle w:val="Heading1"/>
      </w:pPr>
      <w:r>
        <w:t>6. Recommendations &amp; Strategy</w:t>
      </w:r>
    </w:p>
    <w:p>
      <w:pPr>
        <w:pStyle w:val="Heading2"/>
      </w:pPr>
      <w:r>
        <w:t>Ranked top picks</w:t>
      </w:r>
    </w:p>
    <w:tbl>
      <w:tblPr>
        <w:tblStyle w:val="LightGrid-Accent1"/>
        <w:tblW w:type="auto" w:w="0"/>
        <w:tblLayout w:type="fixed"/>
        <w:tblLook w:firstColumn="1" w:firstRow="1" w:lastColumn="0" w:lastRow="0" w:noHBand="0" w:noVBand="1" w:val="04A0"/>
      </w:tblPr>
      <w:tblGrid>
        <w:gridCol w:w="2493"/>
        <w:gridCol w:w="2493"/>
        <w:gridCol w:w="2493"/>
        <w:gridCol w:w="2493"/>
      </w:tblGrid>
      <w:tr>
        <w:trPr>
          <w:tblHeader w:val="true"/>
        </w:trPr>
        <w:tc>
          <w:tcPr>
            <w:tcW w:type="dxa" w:w="567"/>
          </w:tcPr>
          <w:p>
            <w:pPr>
              <w:spacing w:after="40" w:before="40"/>
            </w:pPr>
            <w:r>
              <w:rPr>
                <w:b/>
                <w:sz w:val="18"/>
              </w:rPr>
              <w:t>Rank</w:t>
            </w:r>
          </w:p>
        </w:tc>
        <w:tc>
          <w:tcPr>
            <w:tcW w:type="dxa" w:w="2154"/>
          </w:tcPr>
          <w:p>
            <w:pPr>
              <w:spacing w:after="40" w:before="40"/>
            </w:pPr>
            <w:r>
              <w:rPr>
                <w:b/>
                <w:sz w:val="18"/>
              </w:rPr>
              <w:t>Candidate</w:t>
            </w:r>
          </w:p>
        </w:tc>
        <w:tc>
          <w:tcPr>
            <w:tcW w:type="dxa" w:w="3515"/>
          </w:tcPr>
          <w:p>
            <w:pPr>
              <w:spacing w:after="40" w:before="40"/>
            </w:pPr>
            <w:r>
              <w:rPr>
                <w:b/>
                <w:sz w:val="18"/>
              </w:rPr>
              <w:t>Why it leads</w:t>
            </w:r>
          </w:p>
        </w:tc>
        <w:tc>
          <w:tcPr>
            <w:tcW w:type="dxa" w:w="3288"/>
          </w:tcPr>
          <w:p>
            <w:pPr>
              <w:spacing w:after="40" w:before="40"/>
            </w:pPr>
            <w:r>
              <w:rPr>
                <w:b/>
                <w:sz w:val="18"/>
              </w:rPr>
              <w:t>What must be confirmed</w:t>
            </w:r>
          </w:p>
        </w:tc>
      </w:tr>
      <w:tr>
        <w:tc>
          <w:tcPr>
            <w:tcW w:type="dxa" w:w="567"/>
          </w:tcPr>
          <w:p>
            <w:pPr>
              <w:spacing w:after="40" w:before="40"/>
            </w:pPr>
            <w:r>
              <w:rPr>
                <w:sz w:val="18"/>
              </w:rPr>
              <w:t>1</w:t>
            </w:r>
          </w:p>
        </w:tc>
        <w:tc>
          <w:tcPr>
            <w:tcW w:type="dxa" w:w="2154"/>
          </w:tcPr>
          <w:p>
            <w:pPr>
              <w:spacing w:after="40" w:before="40"/>
            </w:pPr>
            <w:r>
              <w:rPr>
                <w:sz w:val="18"/>
              </w:rPr>
              <w:t>L02 · Technipark Ten — 16115 Park Row</w:t>
            </w:r>
          </w:p>
        </w:tc>
        <w:tc>
          <w:tcPr>
            <w:tcW w:type="dxa" w:w="3515"/>
          </w:tcPr>
          <w:p>
            <w:pPr>
              <w:spacing w:after="40" w:before="40"/>
            </w:pPr>
            <w:r>
              <w:rPr>
                <w:sz w:val="18"/>
              </w:rPr>
              <w:t>Only listing with confirmed lab rooms (dry-lab, wet-lab, chemical storage H-2, negative-pressure fume test room); divisible toward the 2,000 SF target; Energy Corridor; same campus and broker as the heavy-power suite</w:t>
            </w:r>
          </w:p>
        </w:tc>
        <w:tc>
          <w:tcPr>
            <w:tcW w:type="dxa" w:w="3288"/>
          </w:tcPr>
          <w:p>
            <w:pPr>
              <w:spacing w:after="40" w:before="40"/>
            </w:pPr>
            <w:r>
              <w:rPr>
                <w:sz w:val="18"/>
              </w:rPr>
              <w:t>Rate; suite-level power; lab HVAC zone specs and exhaust capacity; lab-suite availability dates; ROFR</w:t>
            </w:r>
          </w:p>
        </w:tc>
      </w:tr>
      <w:tr>
        <w:tc>
          <w:tcPr>
            <w:tcW w:type="dxa" w:w="567"/>
          </w:tcPr>
          <w:p>
            <w:pPr>
              <w:spacing w:after="40" w:before="40"/>
            </w:pPr>
            <w:r>
              <w:rPr>
                <w:sz w:val="18"/>
              </w:rPr>
              <w:t>2</w:t>
            </w:r>
          </w:p>
        </w:tc>
        <w:tc>
          <w:tcPr>
            <w:tcW w:type="dxa" w:w="2154"/>
          </w:tcPr>
          <w:p>
            <w:pPr>
              <w:spacing w:after="40" w:before="40"/>
            </w:pPr>
            <w:r>
              <w:rPr>
                <w:sz w:val="18"/>
              </w:rPr>
              <w:t>L01 · Technipark Ten — 16155 Park Row Ste 190</w:t>
            </w:r>
          </w:p>
        </w:tc>
        <w:tc>
          <w:tcPr>
            <w:tcW w:type="dxa" w:w="3515"/>
          </w:tcPr>
          <w:p>
            <w:pPr>
              <w:spacing w:after="40" w:before="40"/>
            </w:pPr>
            <w:r>
              <w:rPr>
                <w:sz w:val="18"/>
              </w:rPr>
              <w:t>Only confirmed heavy power in the search (effective 1,800A); ~30-day availability; adjacent Ste 150 (2,665 SF) expansion path</w:t>
            </w:r>
          </w:p>
        </w:tc>
        <w:tc>
          <w:tcPr>
            <w:tcW w:type="dxa" w:w="3288"/>
          </w:tcPr>
          <w:p>
            <w:pPr>
              <w:spacing w:after="40" w:before="40"/>
            </w:pPr>
            <w:r>
              <w:rPr>
                <w:sz w:val="18"/>
              </w:rPr>
              <w:t>Rate (5,348 SF vs 2,000 SF target); suite HVAC/exhaust; generator; ROFR on adjacent suites</w:t>
            </w:r>
          </w:p>
        </w:tc>
      </w:tr>
      <w:tr>
        <w:tc>
          <w:tcPr>
            <w:tcW w:type="dxa" w:w="567"/>
          </w:tcPr>
          <w:p>
            <w:pPr>
              <w:spacing w:after="40" w:before="40"/>
            </w:pPr>
            <w:r>
              <w:rPr>
                <w:sz w:val="18"/>
              </w:rPr>
              <w:t>3</w:t>
            </w:r>
          </w:p>
        </w:tc>
        <w:tc>
          <w:tcPr>
            <w:tcW w:type="dxa" w:w="2154"/>
          </w:tcPr>
          <w:p>
            <w:pPr>
              <w:spacing w:after="40" w:before="40"/>
            </w:pPr>
            <w:r>
              <w:rPr>
                <w:sz w:val="18"/>
              </w:rPr>
              <w:t>L03 · Techniplex — 16203 Park Row Ste 100</w:t>
            </w:r>
          </w:p>
        </w:tc>
        <w:tc>
          <w:tcPr>
            <w:tcW w:type="dxa" w:w="3515"/>
          </w:tcPr>
          <w:p>
            <w:pPr>
              <w:spacing w:after="40" w:before="40"/>
            </w:pPr>
            <w:r>
              <w:rPr>
                <w:sz w:val="18"/>
              </w:rPr>
              <w:t>Only available-now lab suite (3,100 SF lab, 100% AC); right-size sibling Ste 175 (1,948 SF) now; 141 parking spaces included in rent</w:t>
            </w:r>
          </w:p>
        </w:tc>
        <w:tc>
          <w:tcPr>
            <w:tcW w:type="dxa" w:w="3288"/>
          </w:tcPr>
          <w:p>
            <w:pPr>
              <w:spacing w:after="40" w:before="40"/>
            </w:pPr>
            <w:r>
              <w:rPr>
                <w:sz w:val="18"/>
              </w:rPr>
              <w:t>Rate; suite power; exhaust modifiability; demising options; 12-ft clear loading implications</w:t>
            </w:r>
          </w:p>
        </w:tc>
      </w:tr>
      <w:tr>
        <w:tc>
          <w:tcPr>
            <w:tcW w:type="dxa" w:w="567"/>
          </w:tcPr>
          <w:p>
            <w:pPr>
              <w:spacing w:after="40" w:before="40"/>
            </w:pPr>
            <w:r>
              <w:rPr>
                <w:sz w:val="18"/>
              </w:rPr>
              <w:t>Alt</w:t>
            </w:r>
          </w:p>
        </w:tc>
        <w:tc>
          <w:tcPr>
            <w:tcW w:type="dxa" w:w="2154"/>
          </w:tcPr>
          <w:p>
            <w:pPr>
              <w:spacing w:after="40" w:before="40"/>
            </w:pPr>
            <w:r>
              <w:rPr>
                <w:sz w:val="18"/>
              </w:rPr>
              <w:t>L04 · Park Ten — 15740 Park Row Ste 200</w:t>
            </w:r>
          </w:p>
        </w:tc>
        <w:tc>
          <w:tcPr>
            <w:tcW w:type="dxa" w:w="3515"/>
          </w:tcPr>
          <w:p>
            <w:pPr>
              <w:spacing w:after="40" w:before="40"/>
            </w:pPr>
            <w:r>
              <w:rPr>
                <w:sz w:val="18"/>
              </w:rPr>
              <w:t>Confirmed 480V three-phase plus dock/drive-in loading — the strongest lab-retrofit shell; three suites available now; closest available size above target (3,000 SF)</w:t>
            </w:r>
          </w:p>
        </w:tc>
        <w:tc>
          <w:tcPr>
            <w:tcW w:type="dxa" w:w="3288"/>
          </w:tcPr>
          <w:p>
            <w:pPr>
              <w:spacing w:after="40" w:before="40"/>
            </w:pPr>
            <w:r>
              <w:rPr>
                <w:sz w:val="18"/>
              </w:rPr>
              <w:t>Rate; lab HVAC feasibility on a standard-industrial shell; ROFR</w:t>
            </w:r>
          </w:p>
        </w:tc>
      </w:tr>
      <w:tr>
        <w:tc>
          <w:tcPr>
            <w:tcW w:type="dxa" w:w="567"/>
          </w:tcPr>
          <w:p>
            <w:pPr>
              <w:spacing w:after="40" w:before="40"/>
            </w:pPr>
            <w:r>
              <w:rPr>
                <w:sz w:val="18"/>
              </w:rPr>
              <w:t>Alt</w:t>
            </w:r>
          </w:p>
        </w:tc>
        <w:tc>
          <w:tcPr>
            <w:tcW w:type="dxa" w:w="2154"/>
          </w:tcPr>
          <w:p>
            <w:pPr>
              <w:spacing w:after="40" w:before="40"/>
            </w:pPr>
            <w:r>
              <w:rPr>
                <w:sz w:val="18"/>
              </w:rPr>
              <w:t>L05 · Goar Rd Ste 12664 / L08 · 19407 Park Row</w:t>
            </w:r>
          </w:p>
        </w:tc>
        <w:tc>
          <w:tcPr>
            <w:tcW w:type="dxa" w:w="3515"/>
          </w:tcPr>
          <w:p>
            <w:pPr>
              <w:spacing w:after="40" w:before="40"/>
            </w:pPr>
            <w:r>
              <w:rPr>
                <w:sz w:val="18"/>
              </w:rPr>
              <w:t>Three candidates publish pricing (L05, L08, L12); tour L05 and L08 first for budget calibration — L12 (1,173 SF) is undersized, a rate-calibration data point only; L05 is on-target size (2,257 SF) with climate-controlled warehouse; L08 has 16 confirmed dock doors</w:t>
            </w:r>
          </w:p>
        </w:tc>
        <w:tc>
          <w:tcPr>
            <w:tcW w:type="dxa" w:w="3288"/>
          </w:tcPr>
          <w:p>
            <w:pPr>
              <w:spacing w:after="40" w:before="40"/>
            </w:pPr>
            <w:r>
              <w:rPr>
                <w:sz w:val="18"/>
              </w:rPr>
              <w:t>Gross-vs-NNN totals; lab retrofit potential; dock/grade specifics at L05</w:t>
            </w:r>
          </w:p>
        </w:tc>
      </w:tr>
    </w:tbl>
    <w:p>
      <w:pPr>
        <w:pStyle w:val="Heading2"/>
      </w:pPr>
      <w:r>
        <w:t>Recommended broker call sequence — obtaining unpublished rates &amp; specs</w:t>
      </w:r>
    </w:p>
    <w:p>
      <w:r>
        <w:t>Eight of twelve candidates publish no rate, and suite-level power, HVAC, exhaust, generator, and ROFR details are unpublished almost everywhere. The sequence below obtains those facts in the order that protects the client's timeline: lab-infrastructure candidates first, priced calibration tours immediately after, rate-blind listings last.</w:t>
      </w:r>
    </w:p>
    <w:tbl>
      <w:tblPr>
        <w:tblStyle w:val="LightGrid-Accent1"/>
        <w:tblW w:type="auto" w:w="0"/>
        <w:tblLayout w:type="fixed"/>
        <w:tblLook w:firstColumn="1" w:firstRow="1" w:lastColumn="0" w:lastRow="0" w:noHBand="0" w:noVBand="1" w:val="04A0"/>
      </w:tblPr>
      <w:tblGrid>
        <w:gridCol w:w="2493"/>
        <w:gridCol w:w="2493"/>
        <w:gridCol w:w="2493"/>
        <w:gridCol w:w="2493"/>
      </w:tblGrid>
      <w:tr>
        <w:trPr>
          <w:tblHeader w:val="true"/>
        </w:trPr>
        <w:tc>
          <w:tcPr>
            <w:tcW w:type="dxa" w:w="567"/>
          </w:tcPr>
          <w:p>
            <w:pPr>
              <w:spacing w:after="40" w:before="40"/>
            </w:pPr>
            <w:r>
              <w:rPr>
                <w:b/>
                <w:sz w:val="18"/>
              </w:rPr>
              <w:t>Step</w:t>
            </w:r>
          </w:p>
        </w:tc>
        <w:tc>
          <w:tcPr>
            <w:tcW w:type="dxa" w:w="2268"/>
          </w:tcPr>
          <w:p>
            <w:pPr>
              <w:spacing w:after="40" w:before="40"/>
            </w:pPr>
            <w:r>
              <w:rPr>
                <w:b/>
                <w:sz w:val="18"/>
              </w:rPr>
              <w:t>Contact</w:t>
            </w:r>
          </w:p>
        </w:tc>
        <w:tc>
          <w:tcPr>
            <w:tcW w:type="dxa" w:w="2551"/>
          </w:tcPr>
          <w:p>
            <w:pPr>
              <w:spacing w:after="40" w:before="40"/>
            </w:pPr>
            <w:r>
              <w:rPr>
                <w:b/>
                <w:sz w:val="18"/>
              </w:rPr>
              <w:t>Properties</w:t>
            </w:r>
          </w:p>
        </w:tc>
        <w:tc>
          <w:tcPr>
            <w:tcW w:type="dxa" w:w="4252"/>
          </w:tcPr>
          <w:p>
            <w:pPr>
              <w:spacing w:after="40" w:before="40"/>
            </w:pPr>
            <w:r>
              <w:rPr>
                <w:b/>
                <w:sz w:val="18"/>
              </w:rPr>
              <w:t>Purpose &amp; questions</w:t>
            </w:r>
          </w:p>
        </w:tc>
      </w:tr>
      <w:tr>
        <w:tc>
          <w:tcPr>
            <w:tcW w:type="dxa" w:w="567"/>
          </w:tcPr>
          <w:p>
            <w:pPr>
              <w:spacing w:after="40" w:before="40"/>
            </w:pPr>
            <w:r>
              <w:rPr>
                <w:sz w:val="18"/>
              </w:rPr>
              <w:t>1</w:t>
            </w:r>
          </w:p>
        </w:tc>
        <w:tc>
          <w:tcPr>
            <w:tcW w:type="dxa" w:w="2268"/>
          </w:tcPr>
          <w:p>
            <w:pPr>
              <w:spacing w:after="40" w:before="40"/>
            </w:pPr>
            <w:r>
              <w:rPr>
                <w:sz w:val="18"/>
              </w:rPr>
              <w:t>Doug Pack, Colliers — 713-818-5782</w:t>
            </w:r>
          </w:p>
        </w:tc>
        <w:tc>
          <w:tcPr>
            <w:tcW w:type="dxa" w:w="2551"/>
          </w:tcPr>
          <w:p>
            <w:pPr>
              <w:spacing w:after="40" w:before="40"/>
            </w:pPr>
            <w:r>
              <w:rPr>
                <w:sz w:val="18"/>
              </w:rPr>
              <w:t>Technipark Ten: L01 (16155 Park Row Ste 190) + L02 (16115 Park Row lab components)</w:t>
            </w:r>
          </w:p>
        </w:tc>
        <w:tc>
          <w:tcPr>
            <w:tcW w:type="dxa" w:w="4252"/>
          </w:tcPr>
          <w:p>
            <w:pPr>
              <w:spacing w:after="40" w:before="40"/>
            </w:pPr>
            <w:r>
              <w:rPr>
                <w:sz w:val="18"/>
              </w:rPr>
              <w:t>Rate for Ste 190 and the lab suites; confirm lab HVAC/exhaust capacity and modifiability; generator status; Ste 150 / adjacent-suite expansion and ROFR; lab-suite availability dates</w:t>
            </w:r>
          </w:p>
        </w:tc>
      </w:tr>
      <w:tr>
        <w:tc>
          <w:tcPr>
            <w:tcW w:type="dxa" w:w="567"/>
          </w:tcPr>
          <w:p>
            <w:pPr>
              <w:spacing w:after="40" w:before="40"/>
            </w:pPr>
            <w:r>
              <w:rPr>
                <w:sz w:val="18"/>
              </w:rPr>
              <w:t>2</w:t>
            </w:r>
          </w:p>
        </w:tc>
        <w:tc>
          <w:tcPr>
            <w:tcW w:type="dxa" w:w="2268"/>
          </w:tcPr>
          <w:p>
            <w:pPr>
              <w:spacing w:after="40" w:before="40"/>
            </w:pPr>
            <w:r>
              <w:rPr>
                <w:sz w:val="18"/>
              </w:rPr>
              <w:t>Meg Zschappel, Stream Realty Partners — 888-589-8706</w:t>
            </w:r>
          </w:p>
        </w:tc>
        <w:tc>
          <w:tcPr>
            <w:tcW w:type="dxa" w:w="2551"/>
          </w:tcPr>
          <w:p>
            <w:pPr>
              <w:spacing w:after="40" w:before="40"/>
            </w:pPr>
            <w:r>
              <w:rPr>
                <w:sz w:val="18"/>
              </w:rPr>
              <w:t>Techniplex 16203 Park Row Ste 100 (L03)</w:t>
            </w:r>
          </w:p>
        </w:tc>
        <w:tc>
          <w:tcPr>
            <w:tcW w:type="dxa" w:w="4252"/>
          </w:tcPr>
          <w:p>
            <w:pPr>
              <w:spacing w:after="40" w:before="40"/>
            </w:pPr>
            <w:r>
              <w:rPr>
                <w:sz w:val="18"/>
              </w:rPr>
              <w:t>Rate; lab exhaust modification rights; suite power service; Ste 175 (1,948 SF) availability; demising of the lab portion; 12-ft clear loading implications</w:t>
            </w:r>
          </w:p>
        </w:tc>
      </w:tr>
      <w:tr>
        <w:tc>
          <w:tcPr>
            <w:tcW w:type="dxa" w:w="567"/>
          </w:tcPr>
          <w:p>
            <w:pPr>
              <w:spacing w:after="40" w:before="40"/>
            </w:pPr>
            <w:r>
              <w:rPr>
                <w:sz w:val="18"/>
              </w:rPr>
              <w:t>3</w:t>
            </w:r>
          </w:p>
        </w:tc>
        <w:tc>
          <w:tcPr>
            <w:tcW w:type="dxa" w:w="2268"/>
          </w:tcPr>
          <w:p>
            <w:pPr>
              <w:spacing w:after="40" w:before="40"/>
            </w:pPr>
            <w:r>
              <w:rPr>
                <w:sz w:val="18"/>
              </w:rPr>
              <w:t>Lexie Curry, EQT Real Estate — 281-635-4548</w:t>
            </w:r>
          </w:p>
        </w:tc>
        <w:tc>
          <w:tcPr>
            <w:tcW w:type="dxa" w:w="2551"/>
          </w:tcPr>
          <w:p>
            <w:pPr>
              <w:spacing w:after="40" w:before="40"/>
            </w:pPr>
            <w:r>
              <w:rPr>
                <w:sz w:val="18"/>
              </w:rPr>
              <w:t>Park Ten 15740 Park Row Ste 200 / 400 (L04)</w:t>
            </w:r>
          </w:p>
        </w:tc>
        <w:tc>
          <w:tcPr>
            <w:tcW w:type="dxa" w:w="4252"/>
          </w:tcPr>
          <w:p>
            <w:pPr>
              <w:spacing w:after="40" w:before="40"/>
            </w:pPr>
            <w:r>
              <w:rPr>
                <w:sz w:val="18"/>
              </w:rPr>
              <w:t>Rate for Ste 200/400; lab HVAC feasibility on the 480V three-phase shell; ROFR on adjacent suites; parking ratio</w:t>
            </w:r>
          </w:p>
        </w:tc>
      </w:tr>
      <w:tr>
        <w:tc>
          <w:tcPr>
            <w:tcW w:type="dxa" w:w="567"/>
          </w:tcPr>
          <w:p>
            <w:pPr>
              <w:spacing w:after="40" w:before="40"/>
            </w:pPr>
            <w:r>
              <w:rPr>
                <w:sz w:val="18"/>
              </w:rPr>
              <w:t>4</w:t>
            </w:r>
          </w:p>
        </w:tc>
        <w:tc>
          <w:tcPr>
            <w:tcW w:type="dxa" w:w="2268"/>
          </w:tcPr>
          <w:p>
            <w:pPr>
              <w:spacing w:after="40" w:before="40"/>
            </w:pPr>
            <w:r>
              <w:rPr>
                <w:sz w:val="18"/>
              </w:rPr>
              <w:t>Ryan Young, Fort Commercial — 281-584-3320; W. Stewart Smith, Fuller Realty — 713-850-8400</w:t>
            </w:r>
          </w:p>
        </w:tc>
        <w:tc>
          <w:tcPr>
            <w:tcW w:type="dxa" w:w="2551"/>
          </w:tcPr>
          <w:p>
            <w:pPr>
              <w:spacing w:after="40" w:before="40"/>
            </w:pPr>
            <w:r>
              <w:rPr>
                <w:sz w:val="18"/>
              </w:rPr>
              <w:t>L05 Goar Rd Ste 12664 and L08 19407 Park Row</w:t>
            </w:r>
          </w:p>
        </w:tc>
        <w:tc>
          <w:tcPr>
            <w:tcW w:type="dxa" w:w="4252"/>
          </w:tcPr>
          <w:p>
            <w:pPr>
              <w:spacing w:after="40" w:before="40"/>
            </w:pPr>
            <w:r>
              <w:rPr>
                <w:sz w:val="18"/>
              </w:rPr>
              <w:t>Tour L05 and L08 — the two published-rate candidates worth touring (L12 also publishes a rate but is undersized, a data point only) — first for budget calibration; confirm gross-vs-NNN totals, lab retrofit potential, dock/grade specifics at L05</w:t>
            </w:r>
          </w:p>
        </w:tc>
      </w:tr>
      <w:tr>
        <w:tc>
          <w:tcPr>
            <w:tcW w:type="dxa" w:w="567"/>
          </w:tcPr>
          <w:p>
            <w:pPr>
              <w:spacing w:after="40" w:before="40"/>
            </w:pPr>
            <w:r>
              <w:rPr>
                <w:sz w:val="18"/>
              </w:rPr>
              <w:t>5</w:t>
            </w:r>
          </w:p>
        </w:tc>
        <w:tc>
          <w:tcPr>
            <w:tcW w:type="dxa" w:w="2268"/>
          </w:tcPr>
          <w:p>
            <w:pPr>
              <w:spacing w:after="40" w:before="40"/>
            </w:pPr>
            <w:r>
              <w:rPr>
                <w:sz w:val="18"/>
              </w:rPr>
              <w:t>Stream Realty — 832-316-1053 (Park 10); Colliers (Crescent 10); JLS Real Estate — 832.436.4249; Clark Gaines Properties</w:t>
            </w:r>
          </w:p>
        </w:tc>
        <w:tc>
          <w:tcPr>
            <w:tcW w:type="dxa" w:w="2551"/>
          </w:tcPr>
          <w:p>
            <w:pPr>
              <w:spacing w:after="40" w:before="40"/>
            </w:pPr>
            <w:r>
              <w:rPr>
                <w:sz w:val="18"/>
              </w:rPr>
              <w:t>L06 (16820 Barker Springs), L07 (1304 Langham Creek), L10 (11020 Katy Fwy), L11 (16223 Park Row) — and L09 within the Park 10 call</w:t>
            </w:r>
          </w:p>
        </w:tc>
        <w:tc>
          <w:tcPr>
            <w:tcW w:type="dxa" w:w="4252"/>
          </w:tcPr>
          <w:p>
            <w:pPr>
              <w:spacing w:after="40" w:before="40"/>
            </w:pPr>
            <w:r>
              <w:rPr>
                <w:sz w:val="18"/>
              </w:rPr>
              <w:t>Rate + qualification calls; resolve unknowns before tours; at JLS confirm laboratory use is permitted</w:t>
            </w:r>
          </w:p>
        </w:tc>
      </w:tr>
    </w:tbl>
    <w:p>
      <w:r>
        <w:rPr>
          <w:b/>
        </w:rPr>
        <w:t xml:space="preserve">Ask every landlord the same three questions: </w:t>
      </w:r>
      <w:r>
        <w:t>(a) generator on site or generator-ready pad?  (b) can a tenant install lab exhaust / make-up air through the roof?  (c) will you grant an ROFR on adjacent suites?  No listing answers any of these three in its marketing material.</w:t>
      </w:r>
    </w:p>
    <w:p>
      <w:pPr>
        <w:pStyle w:val="Heading2"/>
      </w:pPr>
      <w:r>
        <w:t>Negotiation angles — what the market gives us</w:t>
      </w:r>
    </w:p>
    <w:p>
      <w:pPr>
        <w:pStyle w:val="ListBullet"/>
      </w:pPr>
      <w:r>
        <w:t>Two-speed market: metro vacancy ~7.3% (Q2 2026) and record-high asking rents mask a big-box soft patch — 4–6 months free rent and $6–12/SF TI on 5-year terms — while small-bay/flex is the tight segment (flex vacancy 11.8% but almost no new small-bay supply; WareCRE advises small-bay tenants to 'move with more urgency'). Do not expect bulk-distribution concessions; win on speed, credit, and term instead.</w:t>
      </w:r>
    </w:p>
    <w:p>
      <w:pPr>
        <w:pStyle w:val="ListBullet"/>
      </w:pPr>
      <w:r>
        <w:t>Budget headroom is the client's real leverage: paying market at $60–90/SF/yr gross, the client can demand lab TI — exhaust, make-up air, power upgrade, zoning, chemical storage — above standard industrial allowances (2nd-gen $5–15/SF; shell+office $15–40/SF; lab/medical-adjacent build-outs routinely higher), landlord-funded or amortized into rent.</w:t>
      </w:r>
    </w:p>
    <w:p>
      <w:pPr>
        <w:pStyle w:val="ListBullet"/>
      </w:pPr>
      <w:r>
        <w:t>Where pricing is published (L05 $11/SF NNN; L08 $12/SF NNN), total occupancy — base plus NNN — still sits below the client's floor: negotiate TI and free rent against that gap rather than pushing face rent down.</w:t>
      </w:r>
    </w:p>
    <w:p>
      <w:pPr>
        <w:pStyle w:val="ListBullet"/>
      </w:pPr>
      <w:r>
        <w:t>Escalations: standard 2026 terms carry fixed 3.5%/yr escalations on new long-term leases — fix the escalation schedule in the LOI. Term: 3–5 years is the client's stated preference and consistent with market norms (5–10 years the norm, 1–3 year terms increasingly offered); on 7–10 year alternatives, demand larger TI and ROFR/expansion protections in exchange for term.</w:t>
      </w:r>
    </w:p>
    <w:p>
      <w:pPr>
        <w:pStyle w:val="ListBullet"/>
      </w:pPr>
      <w:r>
        <w:t>Speed: Energy Corridor industrial inventory is thin (3 LoopNet listings, avg $11/SF, avg 5,068 SF), and small-bay listings move — 197 days median DOM metro-wide (Crexi). Qualify with broker calls in week one; be ready to issue LOIs on Technipark/Techniplex as soon as rates surface.</w:t>
      </w:r>
    </w:p>
    <w:p>
      <w:pPr>
        <w:pStyle w:val="Heading2"/>
      </w:pPr>
      <w:r>
        <w:t>Timing plan for immediate occupancy</w:t>
      </w:r>
    </w:p>
    <w:tbl>
      <w:tblPr>
        <w:tblStyle w:val="LightGrid-Accent1"/>
        <w:tblW w:type="auto" w:w="0"/>
        <w:tblLayout w:type="fixed"/>
        <w:tblLook w:firstColumn="1" w:firstRow="1" w:lastColumn="0" w:lastRow="0" w:noHBand="0" w:noVBand="1" w:val="04A0"/>
      </w:tblPr>
      <w:tblGrid>
        <w:gridCol w:w="3324"/>
        <w:gridCol w:w="3324"/>
        <w:gridCol w:w="3324"/>
      </w:tblGrid>
      <w:tr>
        <w:trPr>
          <w:tblHeader w:val="true"/>
        </w:trPr>
        <w:tc>
          <w:tcPr>
            <w:tcW w:type="dxa" w:w="1701"/>
          </w:tcPr>
          <w:p>
            <w:pPr>
              <w:spacing w:after="40" w:before="40"/>
            </w:pPr>
            <w:r>
              <w:rPr>
                <w:b/>
                <w:sz w:val="18"/>
              </w:rPr>
              <w:t>Phase</w:t>
            </w:r>
          </w:p>
        </w:tc>
        <w:tc>
          <w:tcPr>
            <w:tcW w:type="dxa" w:w="1587"/>
          </w:tcPr>
          <w:p>
            <w:pPr>
              <w:spacing w:after="40" w:before="40"/>
            </w:pPr>
            <w:r>
              <w:rPr>
                <w:b/>
                <w:sz w:val="18"/>
              </w:rPr>
              <w:t>Timing</w:t>
            </w:r>
          </w:p>
        </w:tc>
        <w:tc>
          <w:tcPr>
            <w:tcW w:type="dxa" w:w="6236"/>
          </w:tcPr>
          <w:p>
            <w:pPr>
              <w:spacing w:after="40" w:before="40"/>
            </w:pPr>
            <w:r>
              <w:rPr>
                <w:b/>
                <w:sz w:val="18"/>
              </w:rPr>
              <w:t>Actions</w:t>
            </w:r>
          </w:p>
        </w:tc>
      </w:tr>
      <w:tr>
        <w:tc>
          <w:tcPr>
            <w:tcW w:type="dxa" w:w="1701"/>
          </w:tcPr>
          <w:p>
            <w:pPr>
              <w:spacing w:after="40" w:before="40"/>
            </w:pPr>
            <w:r>
              <w:rPr>
                <w:sz w:val="18"/>
              </w:rPr>
              <w:t>1 · Qualification</w:t>
            </w:r>
          </w:p>
        </w:tc>
        <w:tc>
          <w:tcPr>
            <w:tcW w:type="dxa" w:w="1587"/>
          </w:tcPr>
          <w:p>
            <w:pPr>
              <w:spacing w:after="40" w:before="40"/>
            </w:pPr>
            <w:r>
              <w:rPr>
                <w:sz w:val="18"/>
              </w:rPr>
              <w:t>Week 1</w:t>
            </w:r>
          </w:p>
        </w:tc>
        <w:tc>
          <w:tcPr>
            <w:tcW w:type="dxa" w:w="6236"/>
          </w:tcPr>
          <w:p>
            <w:pPr>
              <w:spacing w:after="40" w:before="40"/>
            </w:pPr>
            <w:r>
              <w:rPr>
                <w:sz w:val="18"/>
              </w:rPr>
              <w:t>Broker calls 1–3 (Technipark, Techniplex, Park Ten) with the standard three questions; same-week calls to tour L05 and L08 (published rates); JLS qualification call on lab use and availability; L07 rate call via Colliers</w:t>
            </w:r>
          </w:p>
        </w:tc>
      </w:tr>
      <w:tr>
        <w:tc>
          <w:tcPr>
            <w:tcW w:type="dxa" w:w="1701"/>
          </w:tcPr>
          <w:p>
            <w:pPr>
              <w:spacing w:after="40" w:before="40"/>
            </w:pPr>
            <w:r>
              <w:rPr>
                <w:sz w:val="18"/>
              </w:rPr>
              <w:t>2 · Tours &amp; pricing</w:t>
            </w:r>
          </w:p>
        </w:tc>
        <w:tc>
          <w:tcPr>
            <w:tcW w:type="dxa" w:w="1587"/>
          </w:tcPr>
          <w:p>
            <w:pPr>
              <w:spacing w:after="40" w:before="40"/>
            </w:pPr>
            <w:r>
              <w:rPr>
                <w:sz w:val="18"/>
              </w:rPr>
              <w:t>Weeks 1–2</w:t>
            </w:r>
          </w:p>
        </w:tc>
        <w:tc>
          <w:tcPr>
            <w:tcW w:type="dxa" w:w="6236"/>
          </w:tcPr>
          <w:p>
            <w:pPr>
              <w:spacing w:after="40" w:before="40"/>
            </w:pPr>
            <w:r>
              <w:rPr>
                <w:sz w:val="18"/>
              </w:rPr>
              <w:t>Tour published-rate candidates L05 and L08 immediately for budget calibration; tour Technipark Ten (L01/L02) and Techniplex (L03) once rates and lab specs return; include Park Ten Ste 200 as the lab-retrofit fallback</w:t>
            </w:r>
          </w:p>
        </w:tc>
      </w:tr>
      <w:tr>
        <w:tc>
          <w:tcPr>
            <w:tcW w:type="dxa" w:w="1701"/>
          </w:tcPr>
          <w:p>
            <w:pPr>
              <w:spacing w:after="40" w:before="40"/>
            </w:pPr>
            <w:r>
              <w:rPr>
                <w:sz w:val="18"/>
              </w:rPr>
              <w:t>3 · LOIs</w:t>
            </w:r>
          </w:p>
        </w:tc>
        <w:tc>
          <w:tcPr>
            <w:tcW w:type="dxa" w:w="1587"/>
          </w:tcPr>
          <w:p>
            <w:pPr>
              <w:spacing w:after="40" w:before="40"/>
            </w:pPr>
            <w:r>
              <w:rPr>
                <w:sz w:val="18"/>
              </w:rPr>
              <w:t>Weeks 2–3</w:t>
            </w:r>
          </w:p>
        </w:tc>
        <w:tc>
          <w:tcPr>
            <w:tcW w:type="dxa" w:w="6236"/>
          </w:tcPr>
          <w:p>
            <w:pPr>
              <w:spacing w:after="40" w:before="40"/>
            </w:pPr>
            <w:r>
              <w:rPr>
                <w:sz w:val="18"/>
              </w:rPr>
              <w:t>Issue LOIs on the top 1–2 candidates once rates are in; structure around lab TI, generator and exhaust conditions, ROFR on adjacent suites, 24/7 access confirmations, and fixed escalations</w:t>
            </w:r>
          </w:p>
        </w:tc>
      </w:tr>
      <w:tr>
        <w:tc>
          <w:tcPr>
            <w:tcW w:type="dxa" w:w="1701"/>
          </w:tcPr>
          <w:p>
            <w:pPr>
              <w:spacing w:after="40" w:before="40"/>
            </w:pPr>
            <w:r>
              <w:rPr>
                <w:sz w:val="18"/>
              </w:rPr>
              <w:t>4 · Lease &amp; occupancy</w:t>
            </w:r>
          </w:p>
        </w:tc>
        <w:tc>
          <w:tcPr>
            <w:tcW w:type="dxa" w:w="1587"/>
          </w:tcPr>
          <w:p>
            <w:pPr>
              <w:spacing w:after="40" w:before="40"/>
            </w:pPr>
            <w:r>
              <w:rPr>
                <w:sz w:val="18"/>
              </w:rPr>
              <w:t>Weeks 3–8</w:t>
            </w:r>
          </w:p>
        </w:tc>
        <w:tc>
          <w:tcPr>
            <w:tcW w:type="dxa" w:w="6236"/>
          </w:tcPr>
          <w:p>
            <w:pPr>
              <w:spacing w:after="40" w:before="40"/>
            </w:pPr>
            <w:r>
              <w:rPr>
                <w:sz w:val="18"/>
              </w:rPr>
              <w:t>Lease negotiation and lab build-out; L01's ~30-day availability aligns with a standard negotiation-plus-build-out runway; L03/L04/L05/L06/L07/L08 are available now for immediate occupancy if the client takes existing lab/AC space without heavy build-out</w:t>
            </w:r>
          </w:p>
        </w:tc>
      </w:tr>
    </w:tbl>
    <w:p>
      <w:pPr>
        <w:pStyle w:val="SourceNote"/>
      </w:pPr>
      <w:r>
        <w:t>Availability data is as published in October 2026 listings and syndications; reconfirm before tours. Term at every listing is 'negotiable' or unknown — nothing precludes the client's 3–5 year term, but nothing confirms it; the LOI must state it.</w:t>
      </w:r>
    </w:p>
    <w:p>
      <w:r>
        <w:br w:type="page"/>
      </w:r>
    </w:p>
    <w:p>
      <w:pPr>
        <w:pStyle w:val="Heading1"/>
      </w:pPr>
      <w:r>
        <w:t>7. Assumptions &amp; Sources</w:t>
      </w:r>
    </w:p>
    <w:p>
      <w:pPr>
        <w:pStyle w:val="Heading2"/>
      </w:pPr>
      <w:r>
        <w:t>Data assumptions &amp; limitations</w:t>
      </w:r>
    </w:p>
    <w:p>
      <w:pPr>
        <w:pStyle w:val="ListBullet"/>
      </w:pPr>
      <w:r>
        <w:t>'Rate upon request' listings require direct inquiry: 8 of 12 candidates publish no rate (L01, L02, L03, L04, L06, L07, L10, L11); L09 withholds its rate; only L05 ($11.00/SF/yr NNN), L08 ($12.00/SF/yr NNN), and L12 (~$65/SF/yr) publish pricing. No unpublished listing rate was estimated or presented as fact; the only rent shown not published by a listing is the clearly labeled illustrative L01 estimate (~$4,900/mo at corridor averages), marked 'illustrative only'.</w:t>
      </w:r>
    </w:p>
    <w:p>
      <w:pPr>
        <w:pStyle w:val="ListBullet"/>
      </w:pPr>
      <w:r>
        <w:t>Unconfirmed specs — treated as unknown throughout this CMA: generator (unknown at all 12 candidates); ROFR (never published at any listing); 24/7 access (confirmed only at L06); suite-level heavy power (confirmed only at L01 1,800A and L04 480V three-phase); lab HVAC (partial only — L02 lab rooms exist per listing text, L03 '100% AC', L05 climate-controlled warehouse); lab exhaust (unconfirmed everywhere; 'likely' only at L02 per the negative-pressure test room description); parking (quantified at L03 141 spaces on site per listing source — suite-level ratio not specified; L05 94 spaces; L08 246 spaces); lease term ('negotiable' or unknown at every listing — nothing precludes 3–5 years, nothing confirms it).</w:t>
      </w:r>
    </w:p>
    <w:p>
      <w:pPr>
        <w:pStyle w:val="ListBullet"/>
      </w:pPr>
      <w:r>
        <w:t>Research access: LoopNet returned 'Access Denied' to automated extraction and Crexi/Colliers sat behind Cloudflare challenges during research (Oct 2026). Data was obtained via CityFeet (CoStar-syndicated), Showcase detail pages, CommercialCafe, LargeWarehouseSpace, HAR.com, and Google-indexed listing snippets that exposed LoopNet/Crexi listing text. Every figure traces to a source URL below; no listing details were fabricated, and every CONFIRMED/PARTIAL/UNKNOWN status in this document traces to a cited source.</w:t>
      </w:r>
    </w:p>
    <w:p>
      <w:pPr>
        <w:pStyle w:val="ListBullet"/>
      </w:pPr>
      <w:r>
        <w:t>Internal Shark Finder pipeline check (live API, Oct 5, 2026): the pipeline returned 100 deals — 100% residential/SFR/land investment product (off-market 66, fix-and-flip 22, wholesale 5; Houston 37, Spring 4, etc.). Keyword scans for industrial, lab, laboratory, flex, warehouse, Energy Corridor, west houston, and manufacturing returned zero matches; the two nearest items (a $155K Katy SFR; a $1.85M Midtown commercial building sale) are wrong product type, wrong transaction type, and wrong location. The internal pipeline contains no relevant lease comps and was not used as comp data.</w:t>
      </w:r>
    </w:p>
    <w:p>
      <w:pPr>
        <w:pStyle w:val="ListBullet"/>
      </w:pPr>
      <w:r>
        <w:t>Out-of-area benchmark (not in the 20-mile band): TMC Innovation Factory, Texas Medical Center (~15 mi east) — the region's true purpose-built wet-lab lease product (3,800–48,000+ RSF, acid-waste neutralization, N+1 HVAC, supervised loading dock). Noted only as a build-out benchmark and fallback if the Energy Corridor search fails on lab specs. Source: tmc.edu/innovation-factory-workspace-and-lab-leasing.</w:t>
      </w:r>
    </w:p>
    <w:p>
      <w:pPr>
        <w:pStyle w:val="ListBullet"/>
      </w:pPr>
      <w:r>
        <w:t>Market-stat caveats: Energy Corridor-specific industrial cuts are not published by major brokerages — Katy/Far West and West Houston submarket data plus LoopNet listing counts are the closest proxies (Katy/Far West factsheet is dated Q3 2023). Broker report methodologies differ (gross vs. net asking; all-industrial vs. warehouse-only), hence the $7.78–$10.57/SF metro spread. TI benchmarks marked 'general' are practitioner guides, not Houston-specific.</w:t>
      </w:r>
    </w:p>
    <w:p>
      <w:pPr>
        <w:pStyle w:val="Heading2"/>
      </w:pPr>
      <w:r>
        <w:t>Candidate listing sources</w:t>
      </w:r>
    </w:p>
    <w:tbl>
      <w:tblPr>
        <w:tblStyle w:val="LightGrid-Accent1"/>
        <w:tblW w:type="auto" w:w="0"/>
        <w:tblLayout w:type="fixed"/>
        <w:tblLook w:firstColumn="1" w:firstRow="1" w:lastColumn="0" w:lastRow="0" w:noHBand="0" w:noVBand="1" w:val="04A0"/>
      </w:tblPr>
      <w:tblGrid>
        <w:gridCol w:w="3324"/>
        <w:gridCol w:w="3324"/>
        <w:gridCol w:w="3324"/>
      </w:tblGrid>
      <w:tr>
        <w:trPr>
          <w:tblHeader w:val="true"/>
        </w:trPr>
        <w:tc>
          <w:tcPr>
            <w:tcW w:type="dxa" w:w="1020"/>
          </w:tcPr>
          <w:p>
            <w:pPr>
              <w:spacing w:after="40" w:before="40"/>
            </w:pPr>
            <w:r>
              <w:rPr>
                <w:b/>
                <w:sz w:val="17"/>
              </w:rPr>
              <w:t>Candidate</w:t>
            </w:r>
          </w:p>
        </w:tc>
        <w:tc>
          <w:tcPr>
            <w:tcW w:type="dxa" w:w="5783"/>
          </w:tcPr>
          <w:p>
            <w:pPr>
              <w:spacing w:after="40" w:before="40"/>
            </w:pPr>
            <w:r>
              <w:rPr>
                <w:b/>
                <w:sz w:val="17"/>
              </w:rPr>
              <w:t>Source URL(s)</w:t>
            </w:r>
          </w:p>
        </w:tc>
        <w:tc>
          <w:tcPr>
            <w:tcW w:type="dxa" w:w="2835"/>
          </w:tcPr>
          <w:p>
            <w:pPr>
              <w:spacing w:after="40" w:before="40"/>
            </w:pPr>
            <w:r>
              <w:rPr>
                <w:b/>
                <w:sz w:val="17"/>
              </w:rPr>
              <w:t>Listing broker</w:t>
            </w:r>
          </w:p>
        </w:tc>
      </w:tr>
      <w:tr>
        <w:tc>
          <w:tcPr>
            <w:tcW w:type="dxa" w:w="1020"/>
          </w:tcPr>
          <w:p>
            <w:pPr>
              <w:spacing w:after="40" w:before="40"/>
            </w:pPr>
            <w:r>
              <w:rPr>
                <w:sz w:val="17"/>
              </w:rPr>
              <w:t>L01</w:t>
            </w:r>
          </w:p>
        </w:tc>
        <w:tc>
          <w:tcPr>
            <w:tcW w:type="dxa" w:w="5783"/>
          </w:tcPr>
          <w:p>
            <w:pPr>
              <w:spacing w:after="40" w:before="40"/>
            </w:pPr>
            <w:r>
              <w:rPr>
                <w:sz w:val="17"/>
              </w:rPr>
              <w:t>cityfeet.com/cont/listing/16155-park-row-houston-tx-77084/cs24684371; loopnet.com/Listing/16155-Park-Row-Houston-TX/24684371; colliers.com/en/properties/for-lease-distribution-space-available-in-park-row-area/usa-technipark-ten-16155-16115-park-row-houston-tx-77084/usa1101101</w:t>
            </w:r>
          </w:p>
        </w:tc>
        <w:tc>
          <w:tcPr>
            <w:tcW w:type="dxa" w:w="2835"/>
          </w:tcPr>
          <w:p>
            <w:pPr>
              <w:spacing w:after="40" w:before="40"/>
            </w:pPr>
            <w:r>
              <w:rPr>
                <w:sz w:val="17"/>
              </w:rPr>
              <w:t>Doug Pack, Colliers — 713-818-5782</w:t>
            </w:r>
          </w:p>
        </w:tc>
      </w:tr>
      <w:tr>
        <w:tc>
          <w:tcPr>
            <w:tcW w:type="dxa" w:w="1020"/>
          </w:tcPr>
          <w:p>
            <w:pPr>
              <w:spacing w:after="40" w:before="40"/>
            </w:pPr>
            <w:r>
              <w:rPr>
                <w:sz w:val="17"/>
              </w:rPr>
              <w:t>L02</w:t>
            </w:r>
          </w:p>
        </w:tc>
        <w:tc>
          <w:tcPr>
            <w:tcW w:type="dxa" w:w="5783"/>
          </w:tcPr>
          <w:p>
            <w:pPr>
              <w:spacing w:after="40" w:before="40"/>
            </w:pPr>
            <w:r>
              <w:rPr>
                <w:sz w:val="17"/>
              </w:rPr>
              <w:t>loopnet.com/Listing/16115-Park-Row-Houston-TX/8242029; colliers.com/.../usa-technipark-ten-16155-16115-park-row-houston-tx-77084/usa1101101; largewarehousespace.com/listings/view/7yo8j/technipark-ten-16155-16115-park-row-houston</w:t>
            </w:r>
          </w:p>
        </w:tc>
        <w:tc>
          <w:tcPr>
            <w:tcW w:type="dxa" w:w="2835"/>
          </w:tcPr>
          <w:p>
            <w:pPr>
              <w:spacing w:after="40" w:before="40"/>
            </w:pPr>
            <w:r>
              <w:rPr>
                <w:sz w:val="17"/>
              </w:rPr>
              <w:t>Doug Pack, Colliers — 713-818-5782</w:t>
            </w:r>
          </w:p>
        </w:tc>
      </w:tr>
      <w:tr>
        <w:tc>
          <w:tcPr>
            <w:tcW w:type="dxa" w:w="1020"/>
          </w:tcPr>
          <w:p>
            <w:pPr>
              <w:spacing w:after="40" w:before="40"/>
            </w:pPr>
            <w:r>
              <w:rPr>
                <w:sz w:val="17"/>
              </w:rPr>
              <w:t>L03</w:t>
            </w:r>
          </w:p>
        </w:tc>
        <w:tc>
          <w:tcPr>
            <w:tcW w:type="dxa" w:w="5783"/>
          </w:tcPr>
          <w:p>
            <w:pPr>
              <w:spacing w:after="40" w:before="40"/>
            </w:pPr>
            <w:r>
              <w:rPr>
                <w:sz w:val="17"/>
              </w:rPr>
              <w:t>cityfeet.com/cont/listing/16203-park-row-houston-tx-77084/cs31546965; showcase.com/16203-park-row-houston-tx-77084/31546965; loopnet.com/Listing/16203-Park-Row-Houston-TX/31546965</w:t>
            </w:r>
          </w:p>
        </w:tc>
        <w:tc>
          <w:tcPr>
            <w:tcW w:type="dxa" w:w="2835"/>
          </w:tcPr>
          <w:p>
            <w:pPr>
              <w:spacing w:after="40" w:before="40"/>
            </w:pPr>
            <w:r>
              <w:rPr>
                <w:sz w:val="17"/>
              </w:rPr>
              <w:t>Meg Zschappel, Stream Realty Partners — 888-589-8706</w:t>
            </w:r>
          </w:p>
        </w:tc>
      </w:tr>
      <w:tr>
        <w:tc>
          <w:tcPr>
            <w:tcW w:type="dxa" w:w="1020"/>
          </w:tcPr>
          <w:p>
            <w:pPr>
              <w:spacing w:after="40" w:before="40"/>
            </w:pPr>
            <w:r>
              <w:rPr>
                <w:sz w:val="17"/>
              </w:rPr>
              <w:t>L04</w:t>
            </w:r>
          </w:p>
        </w:tc>
        <w:tc>
          <w:tcPr>
            <w:tcW w:type="dxa" w:w="5783"/>
          </w:tcPr>
          <w:p>
            <w:pPr>
              <w:spacing w:after="40" w:before="40"/>
            </w:pPr>
            <w:r>
              <w:rPr>
                <w:sz w:val="17"/>
              </w:rPr>
              <w:t>cityfeet.com/cont/listing/15740-park-row-houston-tx-77084/cs27992774; images1.cityfeet.com/d2/LSHnPus3T-0eIh625DAlgeQhqMYdg2WvlO4vcc0LxsU/document.pdf; showcase.com/tx/energy-corridor-houston/commercial-real-estate/for-rent/3</w:t>
            </w:r>
          </w:p>
        </w:tc>
        <w:tc>
          <w:tcPr>
            <w:tcW w:type="dxa" w:w="2835"/>
          </w:tcPr>
          <w:p>
            <w:pPr>
              <w:spacing w:after="40" w:before="40"/>
            </w:pPr>
            <w:r>
              <w:rPr>
                <w:sz w:val="17"/>
              </w:rPr>
              <w:t>Lexie Curry, EQT Real Estate — 281-635-4548</w:t>
            </w:r>
          </w:p>
        </w:tc>
      </w:tr>
      <w:tr>
        <w:tc>
          <w:tcPr>
            <w:tcW w:type="dxa" w:w="1020"/>
          </w:tcPr>
          <w:p>
            <w:pPr>
              <w:spacing w:after="40" w:before="40"/>
            </w:pPr>
            <w:r>
              <w:rPr>
                <w:sz w:val="17"/>
              </w:rPr>
              <w:t>L05</w:t>
            </w:r>
          </w:p>
        </w:tc>
        <w:tc>
          <w:tcPr>
            <w:tcW w:type="dxa" w:w="5783"/>
          </w:tcPr>
          <w:p>
            <w:pPr>
              <w:spacing w:after="40" w:before="40"/>
            </w:pPr>
            <w:r>
              <w:rPr>
                <w:sz w:val="17"/>
              </w:rPr>
              <w:t>cityfeet.com/cont/listing/12654-12674-goar-rd-houston-tx-77077/cs27936397; loopnet.com/Listing/12654-12674-Goar-Rd-Houston-TX/27936397; showcase.com/12654-12674-goar-rd-houston-tx-77077/27936397</w:t>
            </w:r>
          </w:p>
        </w:tc>
        <w:tc>
          <w:tcPr>
            <w:tcW w:type="dxa" w:w="2835"/>
          </w:tcPr>
          <w:p>
            <w:pPr>
              <w:spacing w:after="40" w:before="40"/>
            </w:pPr>
            <w:r>
              <w:rPr>
                <w:sz w:val="17"/>
              </w:rPr>
              <w:t>Ryan Young, Fort Commercial Real Estate — 281-584-3320</w:t>
            </w:r>
          </w:p>
        </w:tc>
      </w:tr>
      <w:tr>
        <w:tc>
          <w:tcPr>
            <w:tcW w:type="dxa" w:w="1020"/>
          </w:tcPr>
          <w:p>
            <w:pPr>
              <w:spacing w:after="40" w:before="40"/>
            </w:pPr>
            <w:r>
              <w:rPr>
                <w:sz w:val="17"/>
              </w:rPr>
              <w:t>L06</w:t>
            </w:r>
          </w:p>
        </w:tc>
        <w:tc>
          <w:tcPr>
            <w:tcW w:type="dxa" w:w="5783"/>
          </w:tcPr>
          <w:p>
            <w:pPr>
              <w:spacing w:after="40" w:before="40"/>
            </w:pPr>
            <w:r>
              <w:rPr>
                <w:sz w:val="17"/>
              </w:rPr>
              <w:t>cityfeet.com/cont/listing/16820-barker-springs-rd-houston-tx-77084/cs30767858; largewarehousespace.com/listings/view/3gvbj/16820-barker-springs-rd; showcase.com/16820-barker-springs-rd-houston-tx-77084/30767858</w:t>
            </w:r>
          </w:p>
        </w:tc>
        <w:tc>
          <w:tcPr>
            <w:tcW w:type="dxa" w:w="2835"/>
          </w:tcPr>
          <w:p>
            <w:pPr>
              <w:spacing w:after="40" w:before="40"/>
            </w:pPr>
            <w:r>
              <w:rPr>
                <w:sz w:val="17"/>
              </w:rPr>
              <w:t>Meg Zschappel, Stream Realty Partners — 832-316-1053</w:t>
            </w:r>
          </w:p>
        </w:tc>
      </w:tr>
      <w:tr>
        <w:tc>
          <w:tcPr>
            <w:tcW w:type="dxa" w:w="1020"/>
          </w:tcPr>
          <w:p>
            <w:pPr>
              <w:spacing w:after="40" w:before="40"/>
            </w:pPr>
            <w:r>
              <w:rPr>
                <w:sz w:val="17"/>
              </w:rPr>
              <w:t>L07</w:t>
            </w:r>
          </w:p>
        </w:tc>
        <w:tc>
          <w:tcPr>
            <w:tcW w:type="dxa" w:w="5783"/>
          </w:tcPr>
          <w:p>
            <w:pPr>
              <w:spacing w:after="40" w:before="40"/>
            </w:pPr>
            <w:r>
              <w:rPr>
                <w:sz w:val="17"/>
              </w:rPr>
              <w:t>commercialcafe.com/commercial-property/us/tx/houston/for-lease-flex-space-available-in-energy-corridor; colliers.com/en/properties/for-lease-flex-space-available-in-energy-corridor/usa-1304-langham-creek-drive-houston-tx-77084/usa1101058; cityfeet.com/cont/listing/1304-langham-creek-dr-houston-tx-77084/cs24684342</w:t>
            </w:r>
          </w:p>
        </w:tc>
        <w:tc>
          <w:tcPr>
            <w:tcW w:type="dxa" w:w="2835"/>
          </w:tcPr>
          <w:p>
            <w:pPr>
              <w:spacing w:after="40" w:before="40"/>
            </w:pPr>
            <w:r>
              <w:rPr>
                <w:sz w:val="17"/>
              </w:rPr>
              <w:t>Colliers (listing brokerage)</w:t>
            </w:r>
          </w:p>
        </w:tc>
      </w:tr>
      <w:tr>
        <w:tc>
          <w:tcPr>
            <w:tcW w:type="dxa" w:w="1020"/>
          </w:tcPr>
          <w:p>
            <w:pPr>
              <w:spacing w:after="40" w:before="40"/>
            </w:pPr>
            <w:r>
              <w:rPr>
                <w:sz w:val="17"/>
              </w:rPr>
              <w:t>L08</w:t>
            </w:r>
          </w:p>
        </w:tc>
        <w:tc>
          <w:tcPr>
            <w:tcW w:type="dxa" w:w="5783"/>
          </w:tcPr>
          <w:p>
            <w:pPr>
              <w:spacing w:after="40" w:before="40"/>
            </w:pPr>
            <w:r>
              <w:rPr>
                <w:sz w:val="17"/>
              </w:rPr>
              <w:t>showcase.com/19407-park-row-houston-tx-77084/27500410; loopnet.com/Listing/19407-Park-Row-Houston-TX/27500410</w:t>
            </w:r>
          </w:p>
        </w:tc>
        <w:tc>
          <w:tcPr>
            <w:tcW w:type="dxa" w:w="2835"/>
          </w:tcPr>
          <w:p>
            <w:pPr>
              <w:spacing w:after="40" w:before="40"/>
            </w:pPr>
            <w:r>
              <w:rPr>
                <w:sz w:val="17"/>
              </w:rPr>
              <w:t>W. Stewart Smith, Fuller Realty Interests — 713-850-8400</w:t>
            </w:r>
          </w:p>
        </w:tc>
      </w:tr>
      <w:tr>
        <w:tc>
          <w:tcPr>
            <w:tcW w:type="dxa" w:w="1020"/>
          </w:tcPr>
          <w:p>
            <w:pPr>
              <w:spacing w:after="40" w:before="40"/>
            </w:pPr>
            <w:r>
              <w:rPr>
                <w:sz w:val="17"/>
              </w:rPr>
              <w:t>L09</w:t>
            </w:r>
          </w:p>
        </w:tc>
        <w:tc>
          <w:tcPr>
            <w:tcW w:type="dxa" w:w="5783"/>
          </w:tcPr>
          <w:p>
            <w:pPr>
              <w:spacing w:after="40" w:before="40"/>
            </w:pPr>
            <w:r>
              <w:rPr>
                <w:sz w:val="17"/>
              </w:rPr>
              <w:t>cityfeet.com/cont/listing/16802-barker-springs-rd-houston-tx-77084/cs41705223; showcase.com/16802-barker-springs-rd-houston-tx-77084/41705223</w:t>
            </w:r>
          </w:p>
        </w:tc>
        <w:tc>
          <w:tcPr>
            <w:tcW w:type="dxa" w:w="2835"/>
          </w:tcPr>
          <w:p>
            <w:pPr>
              <w:spacing w:after="40" w:before="40"/>
            </w:pPr>
            <w:r>
              <w:rPr>
                <w:sz w:val="17"/>
              </w:rPr>
              <w:t>Unknown from listing (CityFeet/Showcase syndication)</w:t>
            </w:r>
          </w:p>
        </w:tc>
      </w:tr>
      <w:tr>
        <w:tc>
          <w:tcPr>
            <w:tcW w:type="dxa" w:w="1020"/>
          </w:tcPr>
          <w:p>
            <w:pPr>
              <w:spacing w:after="40" w:before="40"/>
            </w:pPr>
            <w:r>
              <w:rPr>
                <w:sz w:val="17"/>
              </w:rPr>
              <w:t>L10</w:t>
            </w:r>
          </w:p>
        </w:tc>
        <w:tc>
          <w:tcPr>
            <w:tcW w:type="dxa" w:w="5783"/>
          </w:tcPr>
          <w:p>
            <w:pPr>
              <w:spacing w:after="40" w:before="40"/>
            </w:pPr>
            <w:r>
              <w:rPr>
                <w:sz w:val="17"/>
              </w:rPr>
              <w:t>jlscre.com/property-listings/item/11020-katy-freeway; jlscre.com/listings</w:t>
            </w:r>
          </w:p>
        </w:tc>
        <w:tc>
          <w:tcPr>
            <w:tcW w:type="dxa" w:w="2835"/>
          </w:tcPr>
          <w:p>
            <w:pPr>
              <w:spacing w:after="40" w:before="40"/>
            </w:pPr>
            <w:r>
              <w:rPr>
                <w:sz w:val="17"/>
              </w:rPr>
              <w:t>JLS Real Estate — 832.436.4249 / info@jlscre.com</w:t>
            </w:r>
          </w:p>
        </w:tc>
      </w:tr>
      <w:tr>
        <w:tc>
          <w:tcPr>
            <w:tcW w:type="dxa" w:w="1020"/>
          </w:tcPr>
          <w:p>
            <w:pPr>
              <w:spacing w:after="40" w:before="40"/>
            </w:pPr>
            <w:r>
              <w:rPr>
                <w:sz w:val="17"/>
              </w:rPr>
              <w:t>L11</w:t>
            </w:r>
          </w:p>
        </w:tc>
        <w:tc>
          <w:tcPr>
            <w:tcW w:type="dxa" w:w="5783"/>
          </w:tcPr>
          <w:p>
            <w:pPr>
              <w:spacing w:after="40" w:before="40"/>
            </w:pPr>
            <w:r>
              <w:rPr>
                <w:sz w:val="17"/>
              </w:rPr>
              <w:t>cityfeet.com/cont/listing/16223-park-row-houston-tx-77084/cs36999219; har.com/commgate/detail/16223-park-row-drive-houston-tx-77084/744384; showcase.com/tx/energy-corridor-houston/commercial-real-estate/for-rent/3</w:t>
            </w:r>
          </w:p>
        </w:tc>
        <w:tc>
          <w:tcPr>
            <w:tcW w:type="dxa" w:w="2835"/>
          </w:tcPr>
          <w:p>
            <w:pPr>
              <w:spacing w:after="40" w:before="40"/>
            </w:pPr>
            <w:r>
              <w:rPr>
                <w:sz w:val="17"/>
              </w:rPr>
              <w:t>Clark Gaines Properties (HAR listing)</w:t>
            </w:r>
          </w:p>
        </w:tc>
      </w:tr>
      <w:tr>
        <w:tc>
          <w:tcPr>
            <w:tcW w:type="dxa" w:w="1020"/>
          </w:tcPr>
          <w:p>
            <w:pPr>
              <w:spacing w:after="40" w:before="40"/>
            </w:pPr>
            <w:r>
              <w:rPr>
                <w:sz w:val="17"/>
              </w:rPr>
              <w:t>L12</w:t>
            </w:r>
          </w:p>
        </w:tc>
        <w:tc>
          <w:tcPr>
            <w:tcW w:type="dxa" w:w="5783"/>
          </w:tcPr>
          <w:p>
            <w:pPr>
              <w:spacing w:after="40" w:before="40"/>
            </w:pPr>
            <w:r>
              <w:rPr>
                <w:sz w:val="17"/>
              </w:rPr>
              <w:t>showcase.com/9655-katy-fwy-houston-tx-77024/23772450</w:t>
            </w:r>
          </w:p>
        </w:tc>
        <w:tc>
          <w:tcPr>
            <w:tcW w:type="dxa" w:w="2835"/>
          </w:tcPr>
          <w:p>
            <w:pPr>
              <w:spacing w:after="40" w:before="40"/>
            </w:pPr>
            <w:r>
              <w:rPr>
                <w:sz w:val="17"/>
              </w:rPr>
              <w:t>Stephen Woods, Moody National Realty — 832-731-8142</w:t>
            </w:r>
          </w:p>
        </w:tc>
      </w:tr>
    </w:tbl>
    <w:p>
      <w:pPr>
        <w:pStyle w:val="Heading2"/>
      </w:pPr>
      <w:r>
        <w:t>Market data sources</w:t>
      </w:r>
    </w:p>
    <w:tbl>
      <w:tblPr>
        <w:tblStyle w:val="LightGrid-Accent1"/>
        <w:tblW w:type="auto" w:w="0"/>
        <w:tblLayout w:type="fixed"/>
        <w:tblLook w:firstColumn="1" w:firstRow="1" w:lastColumn="0" w:lastRow="0" w:noHBand="0" w:noVBand="1" w:val="04A0"/>
      </w:tblPr>
      <w:tblGrid>
        <w:gridCol w:w="3324"/>
        <w:gridCol w:w="3324"/>
        <w:gridCol w:w="3324"/>
      </w:tblGrid>
      <w:tr>
        <w:trPr>
          <w:tblHeader w:val="true"/>
        </w:trPr>
        <w:tc>
          <w:tcPr>
            <w:tcW w:type="dxa" w:w="454"/>
          </w:tcPr>
          <w:p>
            <w:pPr>
              <w:spacing w:after="40" w:before="40"/>
            </w:pPr>
            <w:r>
              <w:rPr>
                <w:b/>
                <w:sz w:val="18"/>
              </w:rPr>
              <w:t>#</w:t>
            </w:r>
          </w:p>
        </w:tc>
        <w:tc>
          <w:tcPr>
            <w:tcW w:type="dxa" w:w="3515"/>
          </w:tcPr>
          <w:p>
            <w:pPr>
              <w:spacing w:after="40" w:before="40"/>
            </w:pPr>
            <w:r>
              <w:rPr>
                <w:b/>
                <w:sz w:val="18"/>
              </w:rPr>
              <w:t>Report / data source</w:t>
            </w:r>
          </w:p>
        </w:tc>
        <w:tc>
          <w:tcPr>
            <w:tcW w:type="dxa" w:w="5669"/>
          </w:tcPr>
          <w:p>
            <w:pPr>
              <w:spacing w:after="40" w:before="40"/>
            </w:pPr>
            <w:r>
              <w:rPr>
                <w:b/>
                <w:sz w:val="18"/>
              </w:rPr>
              <w:t>URL</w:t>
            </w:r>
          </w:p>
        </w:tc>
      </w:tr>
      <w:tr>
        <w:tc>
          <w:tcPr>
            <w:tcW w:type="dxa" w:w="454"/>
          </w:tcPr>
          <w:p>
            <w:pPr>
              <w:spacing w:after="40" w:before="40"/>
            </w:pPr>
            <w:r>
              <w:rPr>
                <w:sz w:val="18"/>
              </w:rPr>
              <w:t>1</w:t>
            </w:r>
          </w:p>
        </w:tc>
        <w:tc>
          <w:tcPr>
            <w:tcW w:type="dxa" w:w="3515"/>
          </w:tcPr>
          <w:p>
            <w:pPr>
              <w:spacing w:after="40" w:before="40"/>
            </w:pPr>
            <w:r>
              <w:rPr>
                <w:sz w:val="18"/>
              </w:rPr>
              <w:t>Greater Houston Partnership — Quarterly Update: Industrial Market (Q2/26)</w:t>
            </w:r>
          </w:p>
        </w:tc>
        <w:tc>
          <w:tcPr>
            <w:tcW w:type="dxa" w:w="5669"/>
          </w:tcPr>
          <w:p>
            <w:pPr>
              <w:spacing w:after="40" w:before="40"/>
            </w:pPr>
            <w:r>
              <w:rPr>
                <w:sz w:val="18"/>
              </w:rPr>
              <w:t>houston.org/houston-data/quarterly-update-industrial-market</w:t>
            </w:r>
          </w:p>
        </w:tc>
      </w:tr>
      <w:tr>
        <w:tc>
          <w:tcPr>
            <w:tcW w:type="dxa" w:w="454"/>
          </w:tcPr>
          <w:p>
            <w:pPr>
              <w:spacing w:after="40" w:before="40"/>
            </w:pPr>
            <w:r>
              <w:rPr>
                <w:sz w:val="18"/>
              </w:rPr>
              <w:t>2</w:t>
            </w:r>
          </w:p>
        </w:tc>
        <w:tc>
          <w:tcPr>
            <w:tcW w:type="dxa" w:w="3515"/>
          </w:tcPr>
          <w:p>
            <w:pPr>
              <w:spacing w:after="40" w:before="40"/>
            </w:pPr>
            <w:r>
              <w:rPr>
                <w:sz w:val="18"/>
              </w:rPr>
              <w:t>Partners Real Estate — Houston Industrial Q2 2026</w:t>
            </w:r>
          </w:p>
        </w:tc>
        <w:tc>
          <w:tcPr>
            <w:tcW w:type="dxa" w:w="5669"/>
          </w:tcPr>
          <w:p>
            <w:pPr>
              <w:spacing w:after="40" w:before="40"/>
            </w:pPr>
            <w:r>
              <w:rPr>
                <w:sz w:val="18"/>
              </w:rPr>
              <w:t>partnersrealestate.com/research/houston-industrial-q2-2026-quarterly-market-report</w:t>
            </w:r>
          </w:p>
        </w:tc>
      </w:tr>
      <w:tr>
        <w:tc>
          <w:tcPr>
            <w:tcW w:type="dxa" w:w="454"/>
          </w:tcPr>
          <w:p>
            <w:pPr>
              <w:spacing w:after="40" w:before="40"/>
            </w:pPr>
            <w:r>
              <w:rPr>
                <w:sz w:val="18"/>
              </w:rPr>
              <w:t>3</w:t>
            </w:r>
          </w:p>
        </w:tc>
        <w:tc>
          <w:tcPr>
            <w:tcW w:type="dxa" w:w="3515"/>
          </w:tcPr>
          <w:p>
            <w:pPr>
              <w:spacing w:after="40" w:before="40"/>
            </w:pPr>
            <w:r>
              <w:rPr>
                <w:sz w:val="18"/>
              </w:rPr>
              <w:t>Partners Real Estate — Houston Industrial Q3 2025</w:t>
            </w:r>
          </w:p>
        </w:tc>
        <w:tc>
          <w:tcPr>
            <w:tcW w:type="dxa" w:w="5669"/>
          </w:tcPr>
          <w:p>
            <w:pPr>
              <w:spacing w:after="40" w:before="40"/>
            </w:pPr>
            <w:r>
              <w:rPr>
                <w:sz w:val="18"/>
              </w:rPr>
              <w:t>partnersrealestate.com/research/houston-industrial-q3-2025-quarterly-market-report</w:t>
            </w:r>
          </w:p>
        </w:tc>
      </w:tr>
      <w:tr>
        <w:tc>
          <w:tcPr>
            <w:tcW w:type="dxa" w:w="454"/>
          </w:tcPr>
          <w:p>
            <w:pPr>
              <w:spacing w:after="40" w:before="40"/>
            </w:pPr>
            <w:r>
              <w:rPr>
                <w:sz w:val="18"/>
              </w:rPr>
              <w:t>4</w:t>
            </w:r>
          </w:p>
        </w:tc>
        <w:tc>
          <w:tcPr>
            <w:tcW w:type="dxa" w:w="3515"/>
          </w:tcPr>
          <w:p>
            <w:pPr>
              <w:spacing w:after="40" w:before="40"/>
            </w:pPr>
            <w:r>
              <w:rPr>
                <w:sz w:val="18"/>
              </w:rPr>
              <w:t>WareCRE — Houston Industrial &amp; Warehouse Market Report Q1 2026</w:t>
            </w:r>
          </w:p>
        </w:tc>
        <w:tc>
          <w:tcPr>
            <w:tcW w:type="dxa" w:w="5669"/>
          </w:tcPr>
          <w:p>
            <w:pPr>
              <w:spacing w:after="40" w:before="40"/>
            </w:pPr>
            <w:r>
              <w:rPr>
                <w:sz w:val="18"/>
              </w:rPr>
              <w:t>warecre.com/cre-insights/market-property-insights/houston-warehouse-market-report</w:t>
            </w:r>
          </w:p>
        </w:tc>
      </w:tr>
      <w:tr>
        <w:tc>
          <w:tcPr>
            <w:tcW w:type="dxa" w:w="454"/>
          </w:tcPr>
          <w:p>
            <w:pPr>
              <w:spacing w:after="40" w:before="40"/>
            </w:pPr>
            <w:r>
              <w:rPr>
                <w:sz w:val="18"/>
              </w:rPr>
              <w:t>5</w:t>
            </w:r>
          </w:p>
        </w:tc>
        <w:tc>
          <w:tcPr>
            <w:tcW w:type="dxa" w:w="3515"/>
          </w:tcPr>
          <w:p>
            <w:pPr>
              <w:spacing w:after="40" w:before="40"/>
            </w:pPr>
            <w:r>
              <w:rPr>
                <w:sz w:val="18"/>
              </w:rPr>
              <w:t>Cushman &amp; Wakefield — Houston Industrial MarketBeat Q4 2025 (PDF)</w:t>
            </w:r>
          </w:p>
        </w:tc>
        <w:tc>
          <w:tcPr>
            <w:tcW w:type="dxa" w:w="5669"/>
          </w:tcPr>
          <w:p>
            <w:pPr>
              <w:spacing w:after="40" w:before="40"/>
            </w:pPr>
            <w:r>
              <w:rPr>
                <w:sz w:val="18"/>
              </w:rPr>
              <w:t>assets.cushmanwakefield.com/-/media/cw/marketbeat-pdfs/2025/q4/us-reports/industrial/houston_americas_marketbeat_industrial_q42025.pdf</w:t>
            </w:r>
          </w:p>
        </w:tc>
      </w:tr>
      <w:tr>
        <w:tc>
          <w:tcPr>
            <w:tcW w:type="dxa" w:w="454"/>
          </w:tcPr>
          <w:p>
            <w:pPr>
              <w:spacing w:after="40" w:before="40"/>
            </w:pPr>
            <w:r>
              <w:rPr>
                <w:sz w:val="18"/>
              </w:rPr>
              <w:t>6</w:t>
            </w:r>
          </w:p>
        </w:tc>
        <w:tc>
          <w:tcPr>
            <w:tcW w:type="dxa" w:w="3515"/>
          </w:tcPr>
          <w:p>
            <w:pPr>
              <w:spacing w:after="40" w:before="40"/>
            </w:pPr>
            <w:r>
              <w:rPr>
                <w:sz w:val="18"/>
              </w:rPr>
              <w:t>Cushman &amp; Wakefield — Houston Industrial MarketBeat Q2 2026</w:t>
            </w:r>
          </w:p>
        </w:tc>
        <w:tc>
          <w:tcPr>
            <w:tcW w:type="dxa" w:w="5669"/>
          </w:tcPr>
          <w:p>
            <w:pPr>
              <w:spacing w:after="40" w:before="40"/>
            </w:pPr>
            <w:r>
              <w:rPr>
                <w:sz w:val="18"/>
              </w:rPr>
              <w:t>cushmanwakefield.com/en/united-states/insights/us-marketbeats/houston-marketbeats/industrial</w:t>
            </w:r>
          </w:p>
        </w:tc>
      </w:tr>
      <w:tr>
        <w:tc>
          <w:tcPr>
            <w:tcW w:type="dxa" w:w="454"/>
          </w:tcPr>
          <w:p>
            <w:pPr>
              <w:spacing w:after="40" w:before="40"/>
            </w:pPr>
            <w:r>
              <w:rPr>
                <w:sz w:val="18"/>
              </w:rPr>
              <w:t>7</w:t>
            </w:r>
          </w:p>
        </w:tc>
        <w:tc>
          <w:tcPr>
            <w:tcW w:type="dxa" w:w="3515"/>
          </w:tcPr>
          <w:p>
            <w:pPr>
              <w:spacing w:after="40" w:before="40"/>
            </w:pPr>
            <w:r>
              <w:rPr>
                <w:sz w:val="18"/>
              </w:rPr>
              <w:t>Colliers — Houston Industrial Market Report Q2 2026</w:t>
            </w:r>
          </w:p>
        </w:tc>
        <w:tc>
          <w:tcPr>
            <w:tcW w:type="dxa" w:w="5669"/>
          </w:tcPr>
          <w:p>
            <w:pPr>
              <w:spacing w:after="40" w:before="40"/>
            </w:pPr>
            <w:r>
              <w:rPr>
                <w:sz w:val="18"/>
              </w:rPr>
              <w:t>colliers.com/en/research/houston/q2-2026-houston-industrial</w:t>
            </w:r>
          </w:p>
        </w:tc>
      </w:tr>
      <w:tr>
        <w:tc>
          <w:tcPr>
            <w:tcW w:type="dxa" w:w="454"/>
          </w:tcPr>
          <w:p>
            <w:pPr>
              <w:spacing w:after="40" w:before="40"/>
            </w:pPr>
            <w:r>
              <w:rPr>
                <w:sz w:val="18"/>
              </w:rPr>
              <w:t>8</w:t>
            </w:r>
          </w:p>
        </w:tc>
        <w:tc>
          <w:tcPr>
            <w:tcW w:type="dxa" w:w="3515"/>
          </w:tcPr>
          <w:p>
            <w:pPr>
              <w:spacing w:after="40" w:before="40"/>
            </w:pPr>
            <w:r>
              <w:rPr>
                <w:sz w:val="18"/>
              </w:rPr>
              <w:t>Newmark — Houston Industrial Q2 2025</w:t>
            </w:r>
          </w:p>
        </w:tc>
        <w:tc>
          <w:tcPr>
            <w:tcW w:type="dxa" w:w="5669"/>
          </w:tcPr>
          <w:p>
            <w:pPr>
              <w:spacing w:after="40" w:before="40"/>
            </w:pPr>
            <w:r>
              <w:rPr>
                <w:sz w:val="18"/>
              </w:rPr>
              <w:t>nmrk.imgix.net/uploads/fields/pdf-market-reports/2Q25-Houston-Industrial-Market-Report.pdf</w:t>
            </w:r>
          </w:p>
        </w:tc>
      </w:tr>
      <w:tr>
        <w:tc>
          <w:tcPr>
            <w:tcW w:type="dxa" w:w="454"/>
          </w:tcPr>
          <w:p>
            <w:pPr>
              <w:spacing w:after="40" w:before="40"/>
            </w:pPr>
            <w:r>
              <w:rPr>
                <w:sz w:val="18"/>
              </w:rPr>
              <w:t>9</w:t>
            </w:r>
          </w:p>
        </w:tc>
        <w:tc>
          <w:tcPr>
            <w:tcW w:type="dxa" w:w="3515"/>
          </w:tcPr>
          <w:p>
            <w:pPr>
              <w:spacing w:after="40" w:before="40"/>
            </w:pPr>
            <w:r>
              <w:rPr>
                <w:sz w:val="18"/>
              </w:rPr>
              <w:t>Transwestern — Houston Industrial Market (Q3 2023 factsheet; Katy/Far West submarket)</w:t>
            </w:r>
          </w:p>
        </w:tc>
        <w:tc>
          <w:tcPr>
            <w:tcW w:type="dxa" w:w="5669"/>
          </w:tcPr>
          <w:p>
            <w:pPr>
              <w:spacing w:after="40" w:before="40"/>
            </w:pPr>
            <w:r>
              <w:rPr>
                <w:sz w:val="18"/>
              </w:rPr>
              <w:t>transwestern.com/Upload/MarketResearchFactsheet_PDF/638332381310010968.pdf</w:t>
            </w:r>
          </w:p>
        </w:tc>
      </w:tr>
      <w:tr>
        <w:tc>
          <w:tcPr>
            <w:tcW w:type="dxa" w:w="454"/>
          </w:tcPr>
          <w:p>
            <w:pPr>
              <w:spacing w:after="40" w:before="40"/>
            </w:pPr>
            <w:r>
              <w:rPr>
                <w:sz w:val="18"/>
              </w:rPr>
              <w:t>10</w:t>
            </w:r>
          </w:p>
        </w:tc>
        <w:tc>
          <w:tcPr>
            <w:tcW w:type="dxa" w:w="3515"/>
          </w:tcPr>
          <w:p>
            <w:pPr>
              <w:spacing w:after="40" w:before="40"/>
            </w:pPr>
            <w:r>
              <w:rPr>
                <w:sz w:val="18"/>
              </w:rPr>
              <w:t>Transwestern — U.S. Life Sciences Q3 2024 (Houston section)</w:t>
            </w:r>
          </w:p>
        </w:tc>
        <w:tc>
          <w:tcPr>
            <w:tcW w:type="dxa" w:w="5669"/>
          </w:tcPr>
          <w:p>
            <w:pPr>
              <w:spacing w:after="40" w:before="40"/>
            </w:pPr>
            <w:r>
              <w:rPr>
                <w:sz w:val="18"/>
              </w:rPr>
              <w:t>transwestern.com/Upload/MarketResearchFactsheet_PDF/638727096213554955.pdf</w:t>
            </w:r>
          </w:p>
        </w:tc>
      </w:tr>
      <w:tr>
        <w:tc>
          <w:tcPr>
            <w:tcW w:type="dxa" w:w="454"/>
          </w:tcPr>
          <w:p>
            <w:pPr>
              <w:spacing w:after="40" w:before="40"/>
            </w:pPr>
            <w:r>
              <w:rPr>
                <w:sz w:val="18"/>
              </w:rPr>
              <w:t>11</w:t>
            </w:r>
          </w:p>
        </w:tc>
        <w:tc>
          <w:tcPr>
            <w:tcW w:type="dxa" w:w="3515"/>
          </w:tcPr>
          <w:p>
            <w:pPr>
              <w:spacing w:after="40" w:before="40"/>
            </w:pPr>
            <w:r>
              <w:rPr>
                <w:sz w:val="18"/>
              </w:rPr>
              <w:t>Cushman &amp; Wakefield — Life Sciences report (2026)</w:t>
            </w:r>
          </w:p>
        </w:tc>
        <w:tc>
          <w:tcPr>
            <w:tcW w:type="dxa" w:w="5669"/>
          </w:tcPr>
          <w:p>
            <w:pPr>
              <w:spacing w:after="40" w:before="40"/>
            </w:pPr>
            <w:r>
              <w:rPr>
                <w:sz w:val="18"/>
              </w:rPr>
              <w:t>cushmanwakefield.com/en/insights/life-science-report</w:t>
            </w:r>
          </w:p>
        </w:tc>
      </w:tr>
      <w:tr>
        <w:tc>
          <w:tcPr>
            <w:tcW w:type="dxa" w:w="454"/>
          </w:tcPr>
          <w:p>
            <w:pPr>
              <w:spacing w:after="40" w:before="40"/>
            </w:pPr>
            <w:r>
              <w:rPr>
                <w:sz w:val="18"/>
              </w:rPr>
              <w:t>12</w:t>
            </w:r>
          </w:p>
        </w:tc>
        <w:tc>
          <w:tcPr>
            <w:tcW w:type="dxa" w:w="3515"/>
          </w:tcPr>
          <w:p>
            <w:pPr>
              <w:spacing w:after="40" w:before="40"/>
            </w:pPr>
            <w:r>
              <w:rPr>
                <w:sz w:val="18"/>
              </w:rPr>
              <w:t>HAR.com / Place Realty Partners — Houston Industrial Market 2026 (concessions)</w:t>
            </w:r>
          </w:p>
        </w:tc>
        <w:tc>
          <w:tcPr>
            <w:tcW w:type="dxa" w:w="5669"/>
          </w:tcPr>
          <w:p>
            <w:pPr>
              <w:spacing w:after="40" w:before="40"/>
            </w:pPr>
            <w:r>
              <w:rPr>
                <w:sz w:val="18"/>
              </w:rPr>
              <w:t>har.com/blog_144855_houston-industrial-real-estate-market-2026-what-businesses-and-investors-need-to-know</w:t>
            </w:r>
          </w:p>
        </w:tc>
      </w:tr>
      <w:tr>
        <w:tc>
          <w:tcPr>
            <w:tcW w:type="dxa" w:w="454"/>
          </w:tcPr>
          <w:p>
            <w:pPr>
              <w:spacing w:after="40" w:before="40"/>
            </w:pPr>
            <w:r>
              <w:rPr>
                <w:sz w:val="18"/>
              </w:rPr>
              <w:t>13</w:t>
            </w:r>
          </w:p>
        </w:tc>
        <w:tc>
          <w:tcPr>
            <w:tcW w:type="dxa" w:w="3515"/>
          </w:tcPr>
          <w:p>
            <w:pPr>
              <w:spacing w:after="40" w:before="40"/>
            </w:pPr>
            <w:r>
              <w:rPr>
                <w:sz w:val="18"/>
              </w:rPr>
              <w:t>LoopNet — Energy Corridor industrial spaces for lease</w:t>
            </w:r>
          </w:p>
        </w:tc>
        <w:tc>
          <w:tcPr>
            <w:tcW w:type="dxa" w:w="5669"/>
          </w:tcPr>
          <w:p>
            <w:pPr>
              <w:spacing w:after="40" w:before="40"/>
            </w:pPr>
            <w:r>
              <w:rPr>
                <w:sz w:val="18"/>
              </w:rPr>
              <w:t>loopnet.com/search/industrial-space/energy-corridor-houston-tx/for-lease</w:t>
            </w:r>
          </w:p>
        </w:tc>
      </w:tr>
      <w:tr>
        <w:tc>
          <w:tcPr>
            <w:tcW w:type="dxa" w:w="454"/>
          </w:tcPr>
          <w:p>
            <w:pPr>
              <w:spacing w:after="40" w:before="40"/>
            </w:pPr>
            <w:r>
              <w:rPr>
                <w:sz w:val="18"/>
              </w:rPr>
              <w:t>14</w:t>
            </w:r>
          </w:p>
        </w:tc>
        <w:tc>
          <w:tcPr>
            <w:tcW w:type="dxa" w:w="3515"/>
          </w:tcPr>
          <w:p>
            <w:pPr>
              <w:spacing w:after="40" w:before="40"/>
            </w:pPr>
            <w:r>
              <w:rPr>
                <w:sz w:val="18"/>
              </w:rPr>
              <w:t>Coy Davidson / The Tenant Advisor — Houston Office Market Q1 2026</w:t>
            </w:r>
          </w:p>
        </w:tc>
        <w:tc>
          <w:tcPr>
            <w:tcW w:type="dxa" w:w="5669"/>
          </w:tcPr>
          <w:p>
            <w:pPr>
              <w:spacing w:after="40" w:before="40"/>
            </w:pPr>
            <w:r>
              <w:rPr>
                <w:sz w:val="18"/>
              </w:rPr>
              <w:t>coydavidson.com/houston-office-market-report-q1-2026</w:t>
            </w:r>
          </w:p>
        </w:tc>
      </w:tr>
      <w:tr>
        <w:tc>
          <w:tcPr>
            <w:tcW w:type="dxa" w:w="454"/>
          </w:tcPr>
          <w:p>
            <w:pPr>
              <w:spacing w:after="40" w:before="40"/>
            </w:pPr>
            <w:r>
              <w:rPr>
                <w:sz w:val="18"/>
              </w:rPr>
              <w:t>15</w:t>
            </w:r>
          </w:p>
        </w:tc>
        <w:tc>
          <w:tcPr>
            <w:tcW w:type="dxa" w:w="3515"/>
          </w:tcPr>
          <w:p>
            <w:pPr>
              <w:spacing w:after="40" w:before="40"/>
            </w:pPr>
            <w:r>
              <w:rPr>
                <w:sz w:val="18"/>
              </w:rPr>
              <w:t>WareCRE — industrial property specs (power)</w:t>
            </w:r>
          </w:p>
        </w:tc>
        <w:tc>
          <w:tcPr>
            <w:tcW w:type="dxa" w:w="5669"/>
          </w:tcPr>
          <w:p>
            <w:pPr>
              <w:spacing w:after="40" w:before="40"/>
            </w:pPr>
            <w:r>
              <w:rPr>
                <w:sz w:val="18"/>
              </w:rPr>
              <w:t>warecre.com/cre-insights/industrial-101/loading-docks-ceiling-heights-and-power-requirements-understanding-industrial-property-specs</w:t>
            </w:r>
          </w:p>
        </w:tc>
      </w:tr>
      <w:tr>
        <w:tc>
          <w:tcPr>
            <w:tcW w:type="dxa" w:w="454"/>
          </w:tcPr>
          <w:p>
            <w:pPr>
              <w:spacing w:after="40" w:before="40"/>
            </w:pPr>
            <w:r>
              <w:rPr>
                <w:sz w:val="18"/>
              </w:rPr>
              <w:t>16</w:t>
            </w:r>
          </w:p>
        </w:tc>
        <w:tc>
          <w:tcPr>
            <w:tcW w:type="dxa" w:w="3515"/>
          </w:tcPr>
          <w:p>
            <w:pPr>
              <w:spacing w:after="40" w:before="40"/>
            </w:pPr>
            <w:r>
              <w:rPr>
                <w:sz w:val="18"/>
              </w:rPr>
              <w:t>Valderrama Inc. — Houston electrical panel upgrade costs 2026</w:t>
            </w:r>
          </w:p>
        </w:tc>
        <w:tc>
          <w:tcPr>
            <w:tcW w:type="dxa" w:w="5669"/>
          </w:tcPr>
          <w:p>
            <w:pPr>
              <w:spacing w:after="40" w:before="40"/>
            </w:pPr>
            <w:r>
              <w:rPr>
                <w:sz w:val="18"/>
              </w:rPr>
              <w:t>valderramainc.com/blog/electrical-panel-upgrade-cost-houston</w:t>
            </w:r>
          </w:p>
        </w:tc>
      </w:tr>
      <w:tr>
        <w:tc>
          <w:tcPr>
            <w:tcW w:type="dxa" w:w="454"/>
          </w:tcPr>
          <w:p>
            <w:pPr>
              <w:spacing w:after="40" w:before="40"/>
            </w:pPr>
            <w:r>
              <w:rPr>
                <w:sz w:val="18"/>
              </w:rPr>
              <w:t>17</w:t>
            </w:r>
          </w:p>
        </w:tc>
        <w:tc>
          <w:tcPr>
            <w:tcW w:type="dxa" w:w="3515"/>
          </w:tcPr>
          <w:p>
            <w:pPr>
              <w:spacing w:after="40" w:before="40"/>
            </w:pPr>
            <w:r>
              <w:rPr>
                <w:sz w:val="18"/>
              </w:rPr>
              <w:t>Dei Power — 400A commercial service upgrade costs</w:t>
            </w:r>
          </w:p>
        </w:tc>
        <w:tc>
          <w:tcPr>
            <w:tcW w:type="dxa" w:w="5669"/>
          </w:tcPr>
          <w:p>
            <w:pPr>
              <w:spacing w:after="40" w:before="40"/>
            </w:pPr>
            <w:r>
              <w:rPr>
                <w:sz w:val="18"/>
              </w:rPr>
              <w:t>feeds.deipower.com/blog/cost-upgrade-400-amp-service-commercial</w:t>
            </w:r>
          </w:p>
        </w:tc>
      </w:tr>
      <w:tr>
        <w:tc>
          <w:tcPr>
            <w:tcW w:type="dxa" w:w="454"/>
          </w:tcPr>
          <w:p>
            <w:pPr>
              <w:spacing w:after="40" w:before="40"/>
            </w:pPr>
            <w:r>
              <w:rPr>
                <w:sz w:val="18"/>
              </w:rPr>
              <w:t>18</w:t>
            </w:r>
          </w:p>
        </w:tc>
        <w:tc>
          <w:tcPr>
            <w:tcW w:type="dxa" w:w="3515"/>
          </w:tcPr>
          <w:p>
            <w:pPr>
              <w:spacing w:after="40" w:before="40"/>
            </w:pPr>
            <w:r>
              <w:rPr>
                <w:sz w:val="18"/>
              </w:rPr>
              <w:t>Tyler Cauble CRE — TI allowance market standards 2026</w:t>
            </w:r>
          </w:p>
        </w:tc>
        <w:tc>
          <w:tcPr>
            <w:tcW w:type="dxa" w:w="5669"/>
          </w:tcPr>
          <w:p>
            <w:pPr>
              <w:spacing w:after="40" w:before="40"/>
            </w:pPr>
            <w:r>
              <w:rPr>
                <w:sz w:val="18"/>
              </w:rPr>
              <w:t>tylercauble.com/blog/tenant-improvement-allowances</w:t>
            </w:r>
          </w:p>
        </w:tc>
      </w:tr>
      <w:tr>
        <w:tc>
          <w:tcPr>
            <w:tcW w:type="dxa" w:w="454"/>
          </w:tcPr>
          <w:p>
            <w:pPr>
              <w:spacing w:after="40" w:before="40"/>
            </w:pPr>
            <w:r>
              <w:rPr>
                <w:sz w:val="18"/>
              </w:rPr>
              <w:t>19</w:t>
            </w:r>
          </w:p>
        </w:tc>
        <w:tc>
          <w:tcPr>
            <w:tcW w:type="dxa" w:w="3515"/>
          </w:tcPr>
          <w:p>
            <w:pPr>
              <w:spacing w:after="40" w:before="40"/>
            </w:pPr>
            <w:r>
              <w:rPr>
                <w:sz w:val="18"/>
              </w:rPr>
              <w:t>APERS — TI allowance market standards</w:t>
            </w:r>
          </w:p>
        </w:tc>
        <w:tc>
          <w:tcPr>
            <w:tcW w:type="dxa" w:w="5669"/>
          </w:tcPr>
          <w:p>
            <w:pPr>
              <w:spacing w:after="40" w:before="40"/>
            </w:pPr>
            <w:r>
              <w:rPr>
                <w:sz w:val="18"/>
              </w:rPr>
              <w:t>apers.app/learn/operations/leasing/tenant-improvement-allowances-market-standards</w:t>
            </w:r>
          </w:p>
        </w:tc>
      </w:tr>
      <w:tr>
        <w:tc>
          <w:tcPr>
            <w:tcW w:type="dxa" w:w="454"/>
          </w:tcPr>
          <w:p>
            <w:pPr>
              <w:spacing w:after="40" w:before="40"/>
            </w:pPr>
            <w:r>
              <w:rPr>
                <w:sz w:val="18"/>
              </w:rPr>
              <w:t>20</w:t>
            </w:r>
          </w:p>
        </w:tc>
        <w:tc>
          <w:tcPr>
            <w:tcW w:type="dxa" w:w="3515"/>
          </w:tcPr>
          <w:p>
            <w:pPr>
              <w:spacing w:after="40" w:before="40"/>
            </w:pPr>
            <w:r>
              <w:rPr>
                <w:sz w:val="18"/>
              </w:rPr>
              <w:t>Labs4Rent — Houston lab spaces</w:t>
            </w:r>
          </w:p>
        </w:tc>
        <w:tc>
          <w:tcPr>
            <w:tcW w:type="dxa" w:w="5669"/>
          </w:tcPr>
          <w:p>
            <w:pPr>
              <w:spacing w:after="40" w:before="40"/>
            </w:pPr>
            <w:r>
              <w:rPr>
                <w:sz w:val="18"/>
              </w:rPr>
              <w:t>labs4rent.com/lab-space/houston</w:t>
            </w:r>
          </w:p>
        </w:tc>
      </w:tr>
      <w:tr>
        <w:tc>
          <w:tcPr>
            <w:tcW w:type="dxa" w:w="454"/>
          </w:tcPr>
          <w:p>
            <w:pPr>
              <w:spacing w:after="40" w:before="40"/>
            </w:pPr>
            <w:r>
              <w:rPr>
                <w:sz w:val="18"/>
              </w:rPr>
              <w:t>21</w:t>
            </w:r>
          </w:p>
        </w:tc>
        <w:tc>
          <w:tcPr>
            <w:tcW w:type="dxa" w:w="3515"/>
          </w:tcPr>
          <w:p>
            <w:pPr>
              <w:spacing w:after="40" w:before="40"/>
            </w:pPr>
            <w:r>
              <w:rPr>
                <w:sz w:val="18"/>
              </w:rPr>
              <w:t>Personal Warehouse — small-bay industrial trend report 2025</w:t>
            </w:r>
          </w:p>
        </w:tc>
        <w:tc>
          <w:tcPr>
            <w:tcW w:type="dxa" w:w="5669"/>
          </w:tcPr>
          <w:p>
            <w:pPr>
              <w:spacing w:after="40" w:before="40"/>
            </w:pPr>
            <w:r>
              <w:rPr>
                <w:sz w:val="18"/>
              </w:rPr>
              <w:t>personalwarehouse.com/small-bay-industrial-trends-micro-flex-market-booming-2025</w:t>
            </w:r>
          </w:p>
        </w:tc>
      </w:tr>
      <w:tr>
        <w:tc>
          <w:tcPr>
            <w:tcW w:type="dxa" w:w="454"/>
          </w:tcPr>
          <w:p>
            <w:pPr>
              <w:spacing w:after="40" w:before="40"/>
            </w:pPr>
            <w:r>
              <w:rPr>
                <w:sz w:val="18"/>
              </w:rPr>
              <w:t>22</w:t>
            </w:r>
          </w:p>
        </w:tc>
        <w:tc>
          <w:tcPr>
            <w:tcW w:type="dxa" w:w="3515"/>
          </w:tcPr>
          <w:p>
            <w:pPr>
              <w:spacing w:after="40" w:before="40"/>
            </w:pPr>
            <w:r>
              <w:rPr>
                <w:sz w:val="18"/>
              </w:rPr>
              <w:t>Avison Young — U.S. life sciences leasing 2025</w:t>
            </w:r>
          </w:p>
        </w:tc>
        <w:tc>
          <w:tcPr>
            <w:tcW w:type="dxa" w:w="5669"/>
          </w:tcPr>
          <w:p>
            <w:pPr>
              <w:spacing w:after="40" w:before="40"/>
            </w:pPr>
            <w:r>
              <w:rPr>
                <w:sz w:val="18"/>
              </w:rPr>
              <w:t>avisonyoung.us/w/us-life-sciences-lab-research-development-leasing-lags-pre-covid-norms-in-2025</w:t>
            </w:r>
          </w:p>
        </w:tc>
      </w:tr>
      <w:tr>
        <w:tc>
          <w:tcPr>
            <w:tcW w:type="dxa" w:w="454"/>
          </w:tcPr>
          <w:p>
            <w:pPr>
              <w:spacing w:after="40" w:before="40"/>
            </w:pPr>
            <w:r>
              <w:rPr>
                <w:sz w:val="18"/>
              </w:rPr>
              <w:t>23</w:t>
            </w:r>
          </w:p>
        </w:tc>
        <w:tc>
          <w:tcPr>
            <w:tcW w:type="dxa" w:w="3515"/>
          </w:tcPr>
          <w:p>
            <w:pPr>
              <w:spacing w:after="40" w:before="40"/>
            </w:pPr>
            <w:r>
              <w:rPr>
                <w:sz w:val="18"/>
              </w:rPr>
              <w:t>TMC Innovation Factory — workspace and lab leasing (out-of-area benchmark)</w:t>
            </w:r>
          </w:p>
        </w:tc>
        <w:tc>
          <w:tcPr>
            <w:tcW w:type="dxa" w:w="5669"/>
          </w:tcPr>
          <w:p>
            <w:pPr>
              <w:spacing w:after="40" w:before="40"/>
            </w:pPr>
            <w:r>
              <w:rPr>
                <w:sz w:val="18"/>
              </w:rPr>
              <w:t>tmc.edu/innovation-factory-workspace-and-lab-leasing</w:t>
            </w:r>
          </w:p>
        </w:tc>
      </w:tr>
    </w:tbl>
    <w:p>
      <w:pPr>
        <w:pStyle w:val="SourceNote"/>
      </w:pPr>
      <w:r>
        <w:t>Listing sources accessed October 2026 via CityFeet, Showcase, CommercialCafe, LargeWarehouseSpace, HAR.com, Colliers, JLS Real Estate, and Google-indexed listing snippets (LoopNet/Crexi pages behind bot protection). Internal Shark Finder API (http://10.128.0.2:3001) queried live Oct 5, 2026 — no relevant lease comps found.</w:t>
      </w:r>
    </w:p>
    <w:p>
      <w:r/>
    </w:p>
    <w:p>
      <w:r>
        <w:rPr>
          <w:b/>
        </w:rPr>
        <w:t xml:space="preserve">Prepared by Justin Dees, Resource Realty — Tenant Representation. </w:t>
      </w:r>
      <w:r>
        <w:t>This Comparative Market Analysis reflects publicly available listing and market data as of October 5, 2026 and is confidential to the client. Specifications marked unknown or to-be-confirmed are not published by the listing sources; unpublished rates require direct broker inquiry before any LOI.</w:t>
      </w:r>
    </w:p>
    <w:sectPr w:rsidR="00FC693F" w:rsidRPr="0006063C" w:rsidSect="00034616">
      <w:headerReference w:type="default" r:id="rId9"/>
      <w:footerReference w:type="default" r:id="rId10"/>
      <w:pgSz w:w="12240" w:h="15840"/>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Resource Realty  |  Prepared by Justin Dees  |  October 2026  |  Confidential  |  </w:t>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Comparative Market Analysis  |  Houston Energy Corridor &amp; West Houston Industrial/Laboratory Lease 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Brand">
    <w:name w:val="CoverBrand"/>
    <w:basedOn w:val="Normal"/>
    <w:pPr>
      <w:spacing w:before="0" w:after="80"/>
    </w:pPr>
    <w:rPr>
      <w:b/>
      <w:color w:val="1F3864"/>
      <w:sz w:val="24"/>
    </w:rPr>
  </w:style>
  <w:style w:type="paragraph" w:customStyle="1" w:styleId="CoverTitle">
    <w:name w:val="CoverTitle"/>
    <w:basedOn w:val="Normal"/>
    <w:pPr>
      <w:spacing w:before="240" w:after="80"/>
    </w:pPr>
    <w:rPr>
      <w:b/>
      <w:color w:val="1F3864"/>
      <w:sz w:val="52"/>
    </w:rPr>
  </w:style>
  <w:style w:type="paragraph" w:customStyle="1" w:styleId="CoverTitle2">
    <w:name w:val="CoverTitle2"/>
    <w:basedOn w:val="Normal"/>
    <w:pPr>
      <w:spacing w:before="0" w:after="160"/>
    </w:pPr>
    <w:rPr>
      <w:b/>
      <w:color w:val="2E5395"/>
      <w:sz w:val="34"/>
    </w:rPr>
  </w:style>
  <w:style w:type="paragraph" w:customStyle="1" w:styleId="CoverSubtitle">
    <w:name w:val="CoverSubtitle"/>
    <w:basedOn w:val="Normal"/>
    <w:pPr>
      <w:spacing w:before="0" w:after="0"/>
    </w:pPr>
    <w:rPr>
      <w:color w:val="44546A"/>
      <w:sz w:val="28"/>
    </w:rPr>
  </w:style>
  <w:style w:type="paragraph" w:customStyle="1" w:styleId="CoverMeta">
    <w:name w:val="CoverMeta"/>
    <w:basedOn w:val="Normal"/>
    <w:pPr>
      <w:spacing w:before="0" w:after="60"/>
    </w:pPr>
    <w:rPr>
      <w:sz w:val="22"/>
    </w:rPr>
  </w:style>
  <w:style w:type="paragraph" w:customStyle="1" w:styleId="CoverNote">
    <w:name w:val="CoverNote"/>
    <w:basedOn w:val="Normal"/>
    <w:rPr>
      <w:i/>
      <w:color w:val="595959"/>
      <w:sz w:val="18"/>
    </w:rPr>
  </w:style>
  <w:style w:type="paragraph" w:customStyle="1" w:styleId="SourceNote">
    <w:name w:val="SourceNote"/>
    <w:basedOn w:val="Normal"/>
    <w:pPr>
      <w:spacing w:before="40" w:after="160"/>
    </w:pPr>
    <w:rPr>
      <w:i/>
      <w:color w:val="595959"/>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Market Analysis — Industrial/Laboratory Lease Search</dc:title>
  <dc:subject>Houston Energy Corridor &amp; West Houston Submarket — 12 active listings, Oct 2026</dc:subject>
  <dc:creator>Justin Dees, Resource Realty</dc:creator>
  <cp:keywords/>
  <dc:description>Confidential — prepared for the oil &amp; gas laboratory tenant. Data as published Oct 2026.</dc:description>
  <cp:lastModifiedBy/>
  <cp:revision>1</cp:revision>
  <dcterms:created xsi:type="dcterms:W3CDTF">2013-12-23T23:15:00Z</dcterms:created>
  <dcterms:modified xsi:type="dcterms:W3CDTF">2013-12-23T23:15:00Z</dcterms:modified>
  <cp:category>Tenant Representation</cp:category>
</cp:coreProperties>
</file>